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E94145" w:rsidR="00E90E49" w:rsidRPr="00CE0424" w:rsidRDefault="00E90E49" w:rsidP="00116C05">
      <w:pPr>
        <w:pStyle w:val="3GPPHeader"/>
        <w:rPr>
          <w:sz w:val="32"/>
          <w:szCs w:val="32"/>
          <w:highlight w:val="yellow"/>
        </w:rPr>
      </w:pPr>
      <w:bookmarkStart w:id="0" w:name="_Hlk167879947"/>
      <w:r w:rsidRPr="00CE0424">
        <w:t>3GPP TSG-RAN WG</w:t>
      </w:r>
      <w:r w:rsidR="008F1C4E">
        <w:t>1</w:t>
      </w:r>
      <w:r w:rsidRPr="00CE0424">
        <w:t xml:space="preserve"> </w:t>
      </w:r>
      <w:r w:rsidR="008F1C4E">
        <w:t xml:space="preserve">Meeting </w:t>
      </w:r>
      <w:r w:rsidRPr="00CE0424">
        <w:t>#</w:t>
      </w:r>
      <w:r w:rsidR="00A611BC">
        <w:t>11</w:t>
      </w:r>
      <w:r w:rsidR="005317E3">
        <w:t>8</w:t>
      </w:r>
      <w:r w:rsidRPr="00CE0424">
        <w:tab/>
      </w:r>
      <w:r w:rsidR="007D2188" w:rsidRPr="007D2188">
        <w:rPr>
          <w:sz w:val="32"/>
          <w:szCs w:val="32"/>
        </w:rPr>
        <w:t>R1-240613</w:t>
      </w:r>
      <w:r w:rsidR="007D2188">
        <w:rPr>
          <w:sz w:val="32"/>
          <w:szCs w:val="32"/>
        </w:rPr>
        <w:t>5</w:t>
      </w:r>
    </w:p>
    <w:p w14:paraId="0CE7B7E6" w14:textId="34F72152" w:rsidR="00E90E49" w:rsidRPr="00CE0424" w:rsidRDefault="005317E3" w:rsidP="00116C05">
      <w:pPr>
        <w:pStyle w:val="3GPPHeader"/>
      </w:pPr>
      <w:r w:rsidRPr="005317E3">
        <w:t>Maastricht, Netherlands</w:t>
      </w:r>
      <w:r w:rsidR="0027144F" w:rsidRPr="005317E3">
        <w:t xml:space="preserve">, </w:t>
      </w:r>
      <w:r w:rsidRPr="005317E3">
        <w:t>August</w:t>
      </w:r>
      <w:r w:rsidR="0027144F" w:rsidRPr="005317E3">
        <w:t xml:space="preserve"> </w:t>
      </w:r>
      <w:r w:rsidRPr="005317E3">
        <w:t>19</w:t>
      </w:r>
      <w:r w:rsidR="001D53E7" w:rsidRPr="00650528">
        <w:rPr>
          <w:vertAlign w:val="superscript"/>
        </w:rPr>
        <w:t>th</w:t>
      </w:r>
      <w:r w:rsidR="001D53E7" w:rsidRPr="005317E3">
        <w:t xml:space="preserve"> – </w:t>
      </w:r>
      <w:r w:rsidRPr="005317E3">
        <w:t>23</w:t>
      </w:r>
      <w:r w:rsidRPr="005317E3">
        <w:rPr>
          <w:vertAlign w:val="superscript"/>
        </w:rPr>
        <w:t>rd</w:t>
      </w:r>
      <w:r w:rsidRPr="005317E3">
        <w:t xml:space="preserve"> </w:t>
      </w:r>
      <w:r w:rsidR="0027144F" w:rsidRPr="005317E3">
        <w:t>20</w:t>
      </w:r>
      <w:r w:rsidR="00A611BC" w:rsidRPr="005317E3">
        <w:t>2</w:t>
      </w:r>
      <w:r w:rsidRPr="005317E3">
        <w:t>4</w:t>
      </w:r>
    </w:p>
    <w:bookmarkEnd w:id="0"/>
    <w:p w14:paraId="3086AC07" w14:textId="77777777" w:rsidR="00E90E49" w:rsidRPr="00CE0424" w:rsidRDefault="00E90E49" w:rsidP="00116C05">
      <w:pPr>
        <w:pStyle w:val="3GPPHeader"/>
      </w:pPr>
    </w:p>
    <w:p w14:paraId="3982483C" w14:textId="441997BF" w:rsidR="00E90E49" w:rsidRPr="005D7C65" w:rsidRDefault="00E90E49" w:rsidP="00116C05">
      <w:pPr>
        <w:pStyle w:val="3GPPHeader"/>
      </w:pPr>
      <w:r w:rsidRPr="005D7C65">
        <w:t>Agenda Item:</w:t>
      </w:r>
      <w:r w:rsidRPr="005D7C65">
        <w:tab/>
      </w:r>
      <w:r w:rsidR="007D2188" w:rsidRPr="00085C06">
        <w:t>9.3.2</w:t>
      </w:r>
    </w:p>
    <w:p w14:paraId="5619E868" w14:textId="77777777" w:rsidR="00E90E49" w:rsidRPr="00CE0424" w:rsidRDefault="003D3C45" w:rsidP="00116C05">
      <w:pPr>
        <w:pStyle w:val="3GPPHeader"/>
      </w:pPr>
      <w:r>
        <w:t>Source:</w:t>
      </w:r>
      <w:r w:rsidR="00E90E49" w:rsidRPr="00CE0424">
        <w:tab/>
      </w:r>
      <w:r w:rsidR="00F64C2B" w:rsidRPr="00CE0424">
        <w:t>Ericsson</w:t>
      </w:r>
    </w:p>
    <w:p w14:paraId="3AF5C9FA" w14:textId="4C2FA6CC" w:rsidR="00E90E49" w:rsidRPr="00CE0424" w:rsidRDefault="003D3C45" w:rsidP="00116C05">
      <w:pPr>
        <w:pStyle w:val="3GPPHeader"/>
      </w:pPr>
      <w:r>
        <w:t>Title:</w:t>
      </w:r>
      <w:r w:rsidR="00E90E49" w:rsidRPr="00CE0424">
        <w:tab/>
      </w:r>
      <w:r w:rsidR="005317E3">
        <w:t>SBFD random access operation</w:t>
      </w:r>
    </w:p>
    <w:p w14:paraId="025260C1" w14:textId="77777777" w:rsidR="00E90E49" w:rsidRPr="00CE0424" w:rsidRDefault="00E90E49" w:rsidP="00116C05">
      <w:pPr>
        <w:pStyle w:val="3GPPHeader"/>
      </w:pPr>
      <w:r w:rsidRPr="00CE0424">
        <w:t>Document for:</w:t>
      </w:r>
      <w:r w:rsidRPr="00CE0424">
        <w:tab/>
      </w:r>
      <w:r w:rsidRPr="005317E3">
        <w:t>Discussion, Decision</w:t>
      </w:r>
    </w:p>
    <w:p w14:paraId="2D5672ED" w14:textId="77777777" w:rsidR="00E90E49" w:rsidRPr="00CE0424" w:rsidRDefault="00E90E49" w:rsidP="00116C05"/>
    <w:p w14:paraId="6883CB62" w14:textId="33436E6E" w:rsidR="00E90E49" w:rsidRPr="00CE0424" w:rsidRDefault="00E90E49" w:rsidP="00AC22FB">
      <w:pPr>
        <w:pStyle w:val="Heading1"/>
      </w:pPr>
      <w:r w:rsidRPr="00CE0424">
        <w:t>Introduction</w:t>
      </w:r>
    </w:p>
    <w:p w14:paraId="231E64EA" w14:textId="1001A4A4" w:rsidR="00477768" w:rsidRDefault="00C45736" w:rsidP="00116C05">
      <w:pPr>
        <w:pStyle w:val="BodyText"/>
      </w:pPr>
      <w:bookmarkStart w:id="1" w:name="_Hlk174095268"/>
      <w:r>
        <w:t xml:space="preserve">As a part of the WI on Duplex Evolution, RAN1 </w:t>
      </w:r>
      <w:r w:rsidR="00483BD0">
        <w:t>got</w:t>
      </w:r>
      <w:r>
        <w:t xml:space="preserve"> commissioned to specify random access in SBFD symbols </w:t>
      </w:r>
      <w:r>
        <w:fldChar w:fldCharType="begin"/>
      </w:r>
      <w:r>
        <w:instrText xml:space="preserve"> REF _Ref174087640 \n \h </w:instrText>
      </w:r>
      <w:r>
        <w:fldChar w:fldCharType="separate"/>
      </w:r>
      <w:r w:rsidR="007B45E5">
        <w:t>[1]</w:t>
      </w:r>
      <w:r>
        <w:fldChar w:fldCharType="end"/>
      </w:r>
      <w:r>
        <w:t>:</w:t>
      </w:r>
    </w:p>
    <w:tbl>
      <w:tblPr>
        <w:tblStyle w:val="TableGrid"/>
        <w:tblW w:w="0" w:type="auto"/>
        <w:tblLook w:val="04A0" w:firstRow="1" w:lastRow="0" w:firstColumn="1" w:lastColumn="0" w:noHBand="0" w:noVBand="1"/>
      </w:tblPr>
      <w:tblGrid>
        <w:gridCol w:w="9855"/>
      </w:tblGrid>
      <w:tr w:rsidR="00C45736" w14:paraId="10B448DB" w14:textId="77777777" w:rsidTr="00C45736">
        <w:tc>
          <w:tcPr>
            <w:tcW w:w="9855" w:type="dxa"/>
          </w:tcPr>
          <w:p w14:paraId="71F64B51" w14:textId="1B5F1A75" w:rsidR="00C45736" w:rsidRPr="00085C06" w:rsidRDefault="00C45736" w:rsidP="00085C06">
            <w:pPr>
              <w:numPr>
                <w:ilvl w:val="0"/>
                <w:numId w:val="28"/>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rPr>
            </w:pPr>
            <w:r w:rsidRPr="00085C06">
              <w:rPr>
                <w:rFonts w:ascii="Times New Roman" w:hAnsi="Times New Roman" w:cs="Times New Roman"/>
                <w:szCs w:val="20"/>
                <w:lang w:eastAsia="zh-CN"/>
              </w:rPr>
              <w:t>Specify SBFD operation to support random access in SBFD symbols by UEs in RRC_CONNECTED mode and RRC_IDLE/INACTIVE mode [RAN1, RAN2]</w:t>
            </w:r>
          </w:p>
        </w:tc>
      </w:tr>
    </w:tbl>
    <w:p w14:paraId="70F502C0" w14:textId="6AF37CD3" w:rsidR="00C45736" w:rsidRPr="00CE0424" w:rsidRDefault="00C45736" w:rsidP="00085C06">
      <w:pPr>
        <w:pStyle w:val="BodyText"/>
        <w:spacing w:before="240"/>
      </w:pPr>
      <w:r>
        <w:t xml:space="preserve">Below, we present our </w:t>
      </w:r>
      <w:r w:rsidR="00900148">
        <w:t>detailed</w:t>
      </w:r>
      <w:r>
        <w:t xml:space="preserve"> views on SBFD random access operation.</w:t>
      </w:r>
    </w:p>
    <w:p w14:paraId="60123794" w14:textId="6825F9D3" w:rsidR="004000E8" w:rsidRDefault="004000E8" w:rsidP="00CE0424">
      <w:pPr>
        <w:pStyle w:val="Heading1"/>
      </w:pPr>
      <w:bookmarkStart w:id="2" w:name="_Ref178064866"/>
      <w:bookmarkEnd w:id="1"/>
      <w:r w:rsidRPr="00CE0424">
        <w:t>Discussion</w:t>
      </w:r>
      <w:bookmarkEnd w:id="2"/>
    </w:p>
    <w:p w14:paraId="27BC9093" w14:textId="0C159CFA" w:rsidR="0042576C" w:rsidRPr="004D092D" w:rsidRDefault="0042576C" w:rsidP="00085C06">
      <w:r>
        <w:rPr>
          <w:lang w:val="en-GB" w:eastAsia="ja-JP"/>
        </w:rPr>
        <w:t>Based on agreements in RAN1 #117, the WID has been updated to also support RRC_IDLE/INACTIVE</w:t>
      </w:r>
      <w:r w:rsidR="00F96940">
        <w:rPr>
          <w:lang w:val="en-GB" w:eastAsia="ja-JP"/>
        </w:rPr>
        <w:t> </w:t>
      </w:r>
      <w:r w:rsidR="00F96940">
        <w:fldChar w:fldCharType="begin"/>
      </w:r>
      <w:r w:rsidR="00F96940">
        <w:instrText xml:space="preserve"> REF _Ref174087640 \n \h </w:instrText>
      </w:r>
      <w:r w:rsidR="00F96940">
        <w:fldChar w:fldCharType="separate"/>
      </w:r>
      <w:r w:rsidR="007B45E5">
        <w:t>[1]</w:t>
      </w:r>
      <w:r w:rsidR="00F96940">
        <w:fldChar w:fldCharType="end"/>
      </w:r>
      <w:r>
        <w:rPr>
          <w:lang w:val="en-GB" w:eastAsia="ja-JP"/>
        </w:rPr>
        <w:t>. In our view, there is no reason why RRC_CONNCTED should fundamentally differ from RRC_IDLE/INACTIVE</w:t>
      </w:r>
      <w:r w:rsidR="00F96940">
        <w:rPr>
          <w:lang w:val="en-GB" w:eastAsia="ja-JP"/>
        </w:rPr>
        <w:t>, in fact it is desirable as much as possible to have a common specification</w:t>
      </w:r>
      <w:r>
        <w:rPr>
          <w:lang w:val="en-GB" w:eastAsia="ja-JP"/>
        </w:rPr>
        <w:t xml:space="preserve">. A simple and straightforward way to align the two is that RAN1 agrees that all previous agreements that have been made for RRC_CONNECTED, are also agreed for RRC_IDLE/INACTIVE. Some agreements do not apply to RRC_IDLE/INACTIVE, e.g., support for CFRA, so the adoption would only apply to agreements related to </w:t>
      </w:r>
      <w:r w:rsidR="00CE6CB7">
        <w:rPr>
          <w:lang w:val="en-GB" w:eastAsia="ja-JP"/>
        </w:rPr>
        <w:t>RACH configurations, including RACH repetitions.</w:t>
      </w:r>
      <w:r w:rsidR="00D9062A">
        <w:rPr>
          <w:lang w:val="en-GB" w:eastAsia="ja-JP"/>
        </w:rPr>
        <w:t xml:space="preserve"> In our view, RAN1 can make a general agreement about adopting agreements related to RRC_CONNECTED also for RRC_IDLE/INACTIVE and still discuss individual agreements, should there be a need to do so.</w:t>
      </w:r>
    </w:p>
    <w:p w14:paraId="52BC708F" w14:textId="48857963" w:rsidR="007D3B7E" w:rsidRPr="00085C06" w:rsidRDefault="00A042E5" w:rsidP="00085C06">
      <w:pPr>
        <w:pStyle w:val="Proposal"/>
        <w:rPr>
          <w:lang w:val="en-GB"/>
        </w:rPr>
      </w:pPr>
      <w:bookmarkStart w:id="3" w:name="_Ref190406817"/>
      <w:bookmarkStart w:id="4" w:name="_Toc226862296"/>
      <w:bookmarkStart w:id="5" w:name="_Toc347823621"/>
      <w:bookmarkStart w:id="6" w:name="_Toc347824073"/>
      <w:bookmarkStart w:id="7" w:name="_Toc347824246"/>
      <w:bookmarkStart w:id="8" w:name="_Toc174129764"/>
      <w:r>
        <w:t xml:space="preserve">As a baseline, </w:t>
      </w:r>
      <w:r w:rsidR="007D3B7E" w:rsidRPr="00CE6CB7">
        <w:t>the same agreements as has been agreed for RRC_CONNECTED</w:t>
      </w:r>
      <w:bookmarkEnd w:id="3"/>
      <w:bookmarkEnd w:id="4"/>
      <w:r>
        <w:t xml:space="preserve"> that are adopted for </w:t>
      </w:r>
      <w:r w:rsidRPr="00CA68E3">
        <w:t>RRC</w:t>
      </w:r>
      <w:r w:rsidRPr="00CE6CB7">
        <w:t>_IDLE/INACTIVE</w:t>
      </w:r>
      <w:r>
        <w:t>.</w:t>
      </w:r>
      <w:bookmarkEnd w:id="5"/>
      <w:bookmarkEnd w:id="6"/>
      <w:bookmarkEnd w:id="7"/>
      <w:r>
        <w:t xml:space="preserve"> Individual agreements can be further discussed upon identified needs by companies.</w:t>
      </w:r>
      <w:bookmarkEnd w:id="8"/>
    </w:p>
    <w:p w14:paraId="70C8782C" w14:textId="4BD7460E" w:rsidR="007D3B7E" w:rsidRPr="007D3B7E" w:rsidRDefault="00860ED9" w:rsidP="007B452B">
      <w:pPr>
        <w:pStyle w:val="Heading2"/>
      </w:pPr>
      <w:r>
        <w:t>Frequency domain RO loc</w:t>
      </w:r>
      <w:r w:rsidR="003D6D1D">
        <w:t>a</w:t>
      </w:r>
      <w:r>
        <w:t>tion</w:t>
      </w:r>
    </w:p>
    <w:p w14:paraId="62EFEACD" w14:textId="4328EE97" w:rsidR="007D3B7E" w:rsidRDefault="007B452B" w:rsidP="00116C05">
      <w:proofErr w:type="gramStart"/>
      <w:r>
        <w:t>I</w:t>
      </w:r>
      <w:r w:rsidR="007D3B7E" w:rsidRPr="009B6DCC">
        <w:t>n order to</w:t>
      </w:r>
      <w:proofErr w:type="gramEnd"/>
      <w:r w:rsidR="007D3B7E" w:rsidRPr="009B6DCC">
        <w:t xml:space="preserve"> </w:t>
      </w:r>
      <w:r w:rsidR="007D3B7E">
        <w:t>combine legacy ROs, advantageously located at the carrier edge to make better use of the remaining UL resources, with new SBFD ROs, assumed to be located in the center of the carrier, a new interpretation of msg1-FrequencyStart, that for legacy RACH currently indicates an offset for the 1</w:t>
      </w:r>
      <w:r w:rsidR="007D3B7E" w:rsidRPr="0040104E">
        <w:rPr>
          <w:vertAlign w:val="superscript"/>
        </w:rPr>
        <w:t>st</w:t>
      </w:r>
      <w:r w:rsidR="007D3B7E">
        <w:t xml:space="preserve"> RO to PRB 0 of the active BWP. A simple solution would be to reinterpret msg1-FrequencyStart to instead indicate an offset of the 1</w:t>
      </w:r>
      <w:r w:rsidR="007D3B7E" w:rsidRPr="0040104E">
        <w:rPr>
          <w:vertAlign w:val="superscript"/>
        </w:rPr>
        <w:t>st</w:t>
      </w:r>
      <w:r w:rsidR="007D3B7E">
        <w:t xml:space="preserve"> RO to the UL subband, see left part of </w:t>
      </w:r>
      <w:r w:rsidR="007D3B7E">
        <w:rPr>
          <w:highlight w:val="yellow"/>
        </w:rPr>
        <w:fldChar w:fldCharType="begin"/>
      </w:r>
      <w:r w:rsidR="007D3B7E">
        <w:instrText xml:space="preserve"> REF _Ref165883009 \h </w:instrText>
      </w:r>
      <w:r w:rsidR="007D3B7E">
        <w:rPr>
          <w:highlight w:val="yellow"/>
        </w:rPr>
      </w:r>
      <w:r w:rsidR="007D3B7E">
        <w:rPr>
          <w:highlight w:val="yellow"/>
        </w:rPr>
        <w:fldChar w:fldCharType="separate"/>
      </w:r>
      <w:r w:rsidR="007B45E5">
        <w:t xml:space="preserve">Figure </w:t>
      </w:r>
      <w:r w:rsidR="007B45E5">
        <w:rPr>
          <w:noProof/>
        </w:rPr>
        <w:t>1</w:t>
      </w:r>
      <w:r w:rsidR="007D3B7E">
        <w:rPr>
          <w:highlight w:val="yellow"/>
        </w:rPr>
        <w:fldChar w:fldCharType="end"/>
      </w:r>
      <w:r w:rsidR="007D3B7E">
        <w:t xml:space="preserve">. However, that implies that legacy ROs are always allocated towards the lower end of the carrier and not the upper end, as is illustrated in middle part, in which case the ROs may even fall outside the UL subband. A more flexible solution would be to introduce a modulus operation such that ROs are wrapped around the UL subband bandwidth as is presented in the right part of </w:t>
      </w:r>
      <w:r w:rsidR="007D3B7E">
        <w:fldChar w:fldCharType="begin"/>
      </w:r>
      <w:r w:rsidR="007D3B7E">
        <w:instrText xml:space="preserve"> REF _Ref165883009 \h </w:instrText>
      </w:r>
      <w:r w:rsidR="007D3B7E">
        <w:fldChar w:fldCharType="separate"/>
      </w:r>
      <w:r w:rsidR="007B45E5">
        <w:t xml:space="preserve">Figure </w:t>
      </w:r>
      <w:r w:rsidR="007B45E5">
        <w:rPr>
          <w:noProof/>
        </w:rPr>
        <w:t>1</w:t>
      </w:r>
      <w:r w:rsidR="007D3B7E">
        <w:fldChar w:fldCharType="end"/>
      </w:r>
      <w:r w:rsidR="007D3B7E">
        <w:t xml:space="preserve">. Here, the last (brighter) RO is wrapped to the start of the UL subband </w:t>
      </w:r>
      <w:r w:rsidR="007D3B7E">
        <w:lastRenderedPageBreak/>
        <w:t>instead of being invalidated. This solution is a reasonable trade-off between keeping legacy RO configurations and allowing SBFD ROs to reliably end up within the UL subband. Mathematically, this can be expressed as</w:t>
      </w:r>
    </w:p>
    <w:p w14:paraId="290FB4E8" w14:textId="77777777" w:rsidR="007D3B7E" w:rsidRPr="004858E4" w:rsidRDefault="007D3B7E" w:rsidP="00116C05">
      <w:pPr>
        <w:rPr>
          <w:rFonts w:eastAsiaTheme="minorEastAsia"/>
        </w:rPr>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m:t>start</m:t>
              </m:r>
            </m:sub>
            <m:sup>
              <m:r>
                <m:rPr>
                  <m:nor/>
                </m:rPr>
                <m:t xml:space="preserve"> </m:t>
              </m:r>
              <m:sSup>
                <m:sSupPr>
                  <m:ctrlPr>
                    <w:rPr>
                      <w:rFonts w:ascii="Cambria Math" w:eastAsia="MS Mincho" w:hAnsi="Cambria Math" w:cs="Verdana"/>
                      <w:i/>
                    </w:rPr>
                  </m:ctrlPr>
                </m:sSupPr>
                <m:e>
                  <m:r>
                    <m:rPr>
                      <m:nor/>
                    </m:rPr>
                    <w:rPr>
                      <w:rFonts w:eastAsia="MS Mincho" w:cs="Verdana"/>
                    </w:rPr>
                    <m:t>1</m:t>
                  </m:r>
                </m:e>
                <m:sup>
                  <m:r>
                    <m:rPr>
                      <m:nor/>
                    </m:rPr>
                    <w:rPr>
                      <w:rFonts w:eastAsia="MS Mincho" w:cs="Verdana"/>
                    </w:rPr>
                    <m:t>st</m:t>
                  </m:r>
                </m:sup>
              </m:sSup>
              <m:r>
                <m:rPr>
                  <m:nor/>
                </m: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m:t>start</m:t>
              </m:r>
            </m:sub>
            <m:sup>
              <m:r>
                <m:rPr>
                  <m:nor/>
                </m:rPr>
                <m:t>UL subband</m:t>
              </m:r>
            </m:sup>
          </m:sSubSup>
          <m:r>
            <w:rPr>
              <w:rFonts w:ascii="Cambria Math" w:hAnsi="Cambria Math"/>
            </w:rPr>
            <m:t>+</m:t>
          </m:r>
          <m:r>
            <m:rPr>
              <m:nor/>
            </m:rPr>
            <m:t>msg1-FrequencyStart</m:t>
          </m:r>
        </m:oMath>
      </m:oMathPara>
    </w:p>
    <w:p w14:paraId="5A9BFA7A" w14:textId="77777777" w:rsidR="007D3B7E" w:rsidRDefault="007D3B7E" w:rsidP="00116C05">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oMath>
      <w:r>
        <w:t xml:space="preserve"> is the start of the 1</w:t>
      </w:r>
      <w:r w:rsidRPr="004858E4">
        <w:rPr>
          <w:vertAlign w:val="superscript"/>
        </w:rPr>
        <w:t>st</w:t>
      </w:r>
      <w:r>
        <w:t xml:space="preserve"> RO and the start of the UL subband, respectively. The start of the n</w:t>
      </w:r>
      <w:r w:rsidRPr="004858E4">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subband, less the RO bandwidth,</w:t>
      </w:r>
    </w:p>
    <w:p w14:paraId="2CE4FE20" w14:textId="77777777" w:rsidR="007D3B7E" w:rsidRDefault="00000000" w:rsidP="00116C05">
      <w:pPr>
        <w:rPr>
          <w:rFonts w:ascii="Ericsson Hilda" w:eastAsia="Ericsson Hilda" w:hAnsi="Ericsson Hilda"/>
        </w:rPr>
      </w:pPr>
      <m:oMathPara>
        <m:oMath>
          <m:sSubSup>
            <m:sSubSupPr>
              <m:ctrlPr>
                <w:rPr>
                  <w:rFonts w:ascii="Cambria Math" w:hAnsi="Cambria Math"/>
                  <w:iCs/>
                </w:rPr>
              </m:ctrlPr>
            </m:sSubSupPr>
            <m:e>
              <m:r>
                <w:rPr>
                  <w:rFonts w:ascii="Cambria Math" w:hAnsi="Cambria Math"/>
                </w:rPr>
                <m:t>RB</m:t>
              </m:r>
            </m:e>
            <m:sub>
              <m:r>
                <w:rPr>
                  <w:rFonts w:ascii="Cambria Math" w:hAnsi="Cambria Math"/>
                </w:rPr>
                <m:t>start</m:t>
              </m:r>
            </m:sub>
            <m:sup>
              <m:sSup>
                <m:sSupPr>
                  <m:ctrlPr>
                    <w:rPr>
                      <w:rFonts w:ascii="Cambria Math" w:hAnsi="Cambria Math"/>
                    </w:rPr>
                  </m:ctrlPr>
                </m:sSupPr>
                <m:e>
                  <m:r>
                    <w:rPr>
                      <w:rFonts w:ascii="Cambria Math" w:hAnsi="Cambria Math"/>
                    </w:rPr>
                    <m:t>n</m:t>
                  </m:r>
                </m:e>
                <m:sup>
                  <m:r>
                    <w:rPr>
                      <w:rFonts w:ascii="Cambria Math" w:hAnsi="Cambria Math"/>
                    </w:rPr>
                    <m:t>th</m:t>
                  </m:r>
                </m:sup>
              </m:sSup>
              <m:r>
                <m:rPr>
                  <m:sty m:val="p"/>
                </m:rPr>
                <w:rPr>
                  <w:rFonts w:ascii="Cambria Math" w:hAnsi="Cambria Math"/>
                </w:rPr>
                <m:t xml:space="preserve"> </m:t>
              </m:r>
              <m:r>
                <w:rPr>
                  <w:rFonts w:ascii="Cambria Math" w:hAnsi="Cambria Math"/>
                </w:rPr>
                <m:t>RO</m:t>
              </m:r>
            </m:sup>
          </m:sSubSup>
          <m:r>
            <m:rPr>
              <m:sty m:val="p"/>
            </m:rPr>
            <w:rPr>
              <w:rFonts w:ascii="Cambria Math" w:hAnsi="Cambria Math"/>
            </w:rPr>
            <m:t>=</m:t>
          </m:r>
          <m:sSubSup>
            <m:sSubSupPr>
              <m:ctrlPr>
                <w:rPr>
                  <w:rFonts w:ascii="Cambria Math" w:hAnsi="Cambria Math"/>
                </w:rPr>
              </m:ctrlPr>
            </m:sSubSupPr>
            <m:e>
              <m:r>
                <w:rPr>
                  <w:rFonts w:ascii="Cambria Math" w:hAnsi="Cambria Math"/>
                </w:rPr>
                <m:t>RB</m:t>
              </m:r>
            </m:e>
            <m:sub>
              <m:r>
                <m:rPr>
                  <m:nor/>
                </m:rPr>
                <m:t>start</m:t>
              </m:r>
            </m:sub>
            <m:sup>
              <m:r>
                <m:rPr>
                  <m:nor/>
                </m:rPr>
                <m:t>UL subband</m:t>
              </m:r>
            </m:sup>
          </m:sSubSup>
          <m:r>
            <m:rPr>
              <m:sty m:val="p"/>
            </m:rPr>
            <w:rPr>
              <w:rFonts w:ascii="Cambria Math" w:hAnsi="Cambria Math"/>
            </w:rPr>
            <m:t>+</m:t>
          </m:r>
          <m:sSubSup>
            <m:sSubSupPr>
              <m:ctrlPr>
                <w:rPr>
                  <w:rFonts w:ascii="Cambria Math" w:hAnsi="Cambria Math"/>
                  <w:iCs/>
                </w:rPr>
              </m:ctrlPr>
            </m:sSubSupPr>
            <m:e>
              <m:acc>
                <m:accPr>
                  <m:chr m:val="̃"/>
                  <m:ctrlPr>
                    <w:rPr>
                      <w:rFonts w:ascii="Cambria Math" w:hAnsi="Cambria Math"/>
                    </w:rPr>
                  </m:ctrlPr>
                </m:accPr>
                <m:e>
                  <m:r>
                    <w:rPr>
                      <w:rFonts w:ascii="Cambria Math" w:hAnsi="Cambria Math"/>
                    </w:rPr>
                    <m:t>RB</m:t>
                  </m:r>
                </m:e>
              </m:acc>
            </m:e>
            <m:sub>
              <m:r>
                <w:rPr>
                  <w:rFonts w:ascii="Cambria Math" w:hAnsi="Cambria Math"/>
                </w:rPr>
                <m:t>start</m:t>
              </m:r>
            </m:sub>
            <m:sup>
              <m:sSup>
                <m:sSupPr>
                  <m:ctrlPr>
                    <w:rPr>
                      <w:rFonts w:ascii="Cambria Math" w:hAnsi="Cambria Math"/>
                    </w:rPr>
                  </m:ctrlPr>
                </m:sSupPr>
                <m:e>
                  <m:r>
                    <w:rPr>
                      <w:rFonts w:ascii="Cambria Math" w:hAnsi="Cambria Math"/>
                    </w:rPr>
                    <m:t>n</m:t>
                  </m:r>
                </m:e>
                <m:sup>
                  <m:r>
                    <w:rPr>
                      <w:rFonts w:ascii="Cambria Math" w:hAnsi="Cambria Math"/>
                    </w:rPr>
                    <m:t>th</m:t>
                  </m:r>
                </m:sup>
              </m:sSup>
              <m:r>
                <m:rPr>
                  <m:sty m:val="p"/>
                </m:rPr>
                <w:rPr>
                  <w:rFonts w:ascii="Cambria Math" w:hAnsi="Cambria Math"/>
                </w:rPr>
                <m:t xml:space="preserve"> </m:t>
              </m:r>
              <m:r>
                <w:rPr>
                  <w:rFonts w:ascii="Cambria Math" w:hAnsi="Cambria Math"/>
                </w:rPr>
                <m:t>RO</m:t>
              </m:r>
            </m:sup>
          </m:sSubSup>
          <m:r>
            <m:rPr>
              <m:sty m:val="p"/>
            </m:rPr>
            <w:rPr>
              <w:rFonts w:ascii="Cambria Math" w:hAnsi="Cambria Math"/>
            </w:rPr>
            <m:t>mod</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 xml:space="preserve">UL subband </m:t>
                  </m:r>
                </m:sub>
                <m:sup>
                  <m:r>
                    <m:rPr>
                      <m:nor/>
                    </m:rPr>
                    <m:t>size</m:t>
                  </m:r>
                </m:sup>
              </m:sSubSup>
              <m:r>
                <m:rPr>
                  <m:nor/>
                </m:rPr>
                <m:t xml:space="preserve">- </m:t>
              </m:r>
              <m:sSubSup>
                <m:sSubSupPr>
                  <m:ctrlPr>
                    <w:rPr>
                      <w:rFonts w:ascii="Cambria Math" w:eastAsia="Ericsson Hilda" w:hAnsi="Cambria Math"/>
                    </w:rPr>
                  </m:ctrlPr>
                </m:sSubSupPr>
                <m:e>
                  <m:r>
                    <w:rPr>
                      <w:rFonts w:ascii="Cambria Math" w:eastAsia="Ericsson Hilda" w:hAnsi="Cambria Math"/>
                    </w:rPr>
                    <m:t>N</m:t>
                  </m:r>
                </m:e>
                <m:sub>
                  <m:r>
                    <m:rPr>
                      <m:nor/>
                    </m:rPr>
                    <w:rPr>
                      <w:rFonts w:eastAsia="Ericsson Hilda"/>
                    </w:rPr>
                    <m:t>RO</m:t>
                  </m:r>
                </m:sub>
                <m:sup>
                  <m:r>
                    <m:rPr>
                      <m:nor/>
                    </m:rPr>
                    <w:rPr>
                      <w:rFonts w:eastAsia="Ericsson Hilda"/>
                    </w:rPr>
                    <m:t>size</m:t>
                  </m:r>
                </m:sup>
              </m:sSubSup>
            </m:e>
          </m:d>
        </m:oMath>
      </m:oMathPara>
    </w:p>
    <w:p w14:paraId="67F5E95D" w14:textId="77777777" w:rsidR="007D3B7E" w:rsidRPr="00842A99" w:rsidRDefault="007D3B7E" w:rsidP="00116C05">
      <w:r>
        <w:t>where the start of the n</w:t>
      </w:r>
      <w:r w:rsidRPr="00672F06">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subband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within the UL subband.</w:t>
      </w:r>
    </w:p>
    <w:p w14:paraId="60068986" w14:textId="77777777" w:rsidR="007D3B7E" w:rsidRDefault="007D3B7E" w:rsidP="00116C05">
      <w:r>
        <w:object w:dxaOrig="12721" w:dyaOrig="5071" w14:anchorId="35499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1.75pt" o:ole="">
            <v:imagedata r:id="rId11" o:title=""/>
          </v:shape>
          <o:OLEObject Type="Embed" ProgID="Visio.Drawing.15" ShapeID="_x0000_i1025" DrawAspect="Content" ObjectID="_1784749402" r:id="rId12"/>
        </w:object>
      </w:r>
    </w:p>
    <w:p w14:paraId="75D6B35E" w14:textId="26B783DC" w:rsidR="007D3B7E" w:rsidRPr="00D42EE9" w:rsidRDefault="007D3B7E" w:rsidP="00116C05">
      <w:pPr>
        <w:pStyle w:val="Caption"/>
        <w:rPr>
          <w:highlight w:val="yellow"/>
        </w:rPr>
      </w:pPr>
      <w:bookmarkStart w:id="9" w:name="_Ref165883009"/>
      <w:r>
        <w:t xml:space="preserve">Figure </w:t>
      </w:r>
      <w:r>
        <w:fldChar w:fldCharType="begin"/>
      </w:r>
      <w:r>
        <w:instrText xml:space="preserve"> SEQ Figure \* ARABIC </w:instrText>
      </w:r>
      <w:r>
        <w:fldChar w:fldCharType="separate"/>
      </w:r>
      <w:r w:rsidR="007B45E5">
        <w:rPr>
          <w:noProof/>
        </w:rPr>
        <w:t>1</w:t>
      </w:r>
      <w:r>
        <w:rPr>
          <w:noProof/>
        </w:rPr>
        <w:fldChar w:fldCharType="end"/>
      </w:r>
      <w:bookmarkEnd w:id="9"/>
      <w:r>
        <w:t>: Illustration of reinterpreted RO validation rules to match the first PRB of the UL subband instead of PRB 0 of the active UL BWP, for, left, ROs located at the bottom of a carrier, middle, ROs located at the top of a carrier, and right, with an additional RO modulus wrapping confining ROs to within the UL subband.</w:t>
      </w:r>
    </w:p>
    <w:p w14:paraId="0FA825AD" w14:textId="1DE1C570" w:rsidR="00910666" w:rsidRPr="00910666" w:rsidRDefault="007D3B7E" w:rsidP="00CA68E3">
      <w:pPr>
        <w:pStyle w:val="Proposal"/>
      </w:pPr>
      <w:bookmarkStart w:id="10" w:name="_Ref165971304"/>
      <w:bookmarkStart w:id="11" w:name="_Toc166256776"/>
      <w:bookmarkStart w:id="12" w:name="_Toc174129765"/>
      <w:r>
        <w:t xml:space="preserve">For ROs within SBFD symbols, </w:t>
      </w:r>
      <w:r w:rsidRPr="00DB5558">
        <w:rPr>
          <w:i/>
          <w:iCs/>
        </w:rPr>
        <w:t>msg1-FrequencyStart</w:t>
      </w:r>
      <w:r>
        <w:t xml:space="preserve"> indicates the offset of the 1</w:t>
      </w:r>
      <w:r w:rsidRPr="00672F06">
        <w:rPr>
          <w:vertAlign w:val="superscript"/>
        </w:rPr>
        <w:t>st</w:t>
      </w:r>
      <w:r>
        <w:t xml:space="preserve"> RO in relation to the start of the UL subband. The start of the n</w:t>
      </w:r>
      <w:r w:rsidRPr="00672F06">
        <w:rPr>
          <w:vertAlign w:val="superscript"/>
        </w:rPr>
        <w:t>th</w:t>
      </w:r>
      <w:r>
        <w:t xml:space="preserve"> RO is determined by the legacy start of the n</w:t>
      </w:r>
      <w:r w:rsidRPr="00D454C2">
        <w:rPr>
          <w:vertAlign w:val="superscript"/>
        </w:rPr>
        <w:t>th</w:t>
      </w:r>
      <w:r>
        <w:t xml:space="preserve"> RO modulus of the UL subband less the RO bandwidth such that all ROs are always comprised within the UL subband.</w:t>
      </w:r>
      <w:bookmarkStart w:id="13" w:name="_Toc174109497"/>
      <w:bookmarkStart w:id="14" w:name="_Toc174129473"/>
      <w:bookmarkStart w:id="15" w:name="_Toc174129600"/>
      <w:bookmarkStart w:id="16" w:name="_Toc174109498"/>
      <w:bookmarkStart w:id="17" w:name="_Toc174129474"/>
      <w:bookmarkStart w:id="18" w:name="_Toc174129601"/>
      <w:bookmarkStart w:id="19" w:name="_Toc174109499"/>
      <w:bookmarkStart w:id="20" w:name="_Toc174129475"/>
      <w:bookmarkStart w:id="21" w:name="_Toc174129602"/>
      <w:bookmarkStart w:id="22" w:name="_Toc174109500"/>
      <w:bookmarkStart w:id="23" w:name="_Toc174129476"/>
      <w:bookmarkStart w:id="24" w:name="_Toc174129603"/>
      <w:bookmarkStart w:id="25" w:name="_Toc174109501"/>
      <w:bookmarkStart w:id="26" w:name="_Toc174129477"/>
      <w:bookmarkStart w:id="27" w:name="_Toc174129604"/>
      <w:bookmarkStart w:id="28" w:name="_Hlk16917448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720D886B" w14:textId="61EBC5EB" w:rsidR="00C05B29" w:rsidRDefault="00860ED9" w:rsidP="007D3B7E">
      <w:pPr>
        <w:pStyle w:val="Heading2"/>
      </w:pPr>
      <w:r>
        <w:t>Time domain RO location</w:t>
      </w:r>
    </w:p>
    <w:p w14:paraId="3140323C" w14:textId="3B0CE4F7" w:rsidR="0037163C" w:rsidRDefault="0037163C" w:rsidP="00116C05">
      <w:pPr>
        <w:rPr>
          <w:lang w:val="en-GB" w:eastAsia="ja-JP"/>
        </w:rPr>
      </w:pPr>
      <w:r>
        <w:rPr>
          <w:lang w:val="en-GB" w:eastAsia="ja-JP"/>
        </w:rPr>
        <w:t xml:space="preserve">In RAN1 #117, the need </w:t>
      </w:r>
      <w:r w:rsidR="000F31E9">
        <w:rPr>
          <w:lang w:val="en-GB" w:eastAsia="ja-JP"/>
        </w:rPr>
        <w:t xml:space="preserve">for </w:t>
      </w:r>
      <w:r>
        <w:rPr>
          <w:lang w:val="en-GB" w:eastAsia="ja-JP"/>
        </w:rPr>
        <w:t xml:space="preserve">and size </w:t>
      </w:r>
      <w:r w:rsidR="000F31E9">
        <w:rPr>
          <w:lang w:val="en-GB" w:eastAsia="ja-JP"/>
        </w:rPr>
        <w:t>of</w:t>
      </w:r>
      <w:r>
        <w:rPr>
          <w:lang w:val="en-GB" w:eastAsia="ja-JP"/>
        </w:rPr>
        <w:t xml:space="preserve"> SSB-to-RO gaps was discussed. Legacy RACH already have specified gap sizes and unless strong reasons are presented why a different gap size is needed for SBFD, the same gap size should be adopted. We have not been able to identify any such strong reason which is why we propose the following:</w:t>
      </w:r>
    </w:p>
    <w:p w14:paraId="51B1663D" w14:textId="62A69140" w:rsidR="00613C0A" w:rsidRDefault="00613C0A" w:rsidP="00CA68E3">
      <w:pPr>
        <w:pStyle w:val="Proposal"/>
        <w:rPr>
          <w:lang w:val="en-GB"/>
        </w:rPr>
      </w:pPr>
      <w:bookmarkStart w:id="29" w:name="_Toc174129766"/>
      <w:r>
        <w:rPr>
          <w:lang w:val="en-GB"/>
        </w:rPr>
        <w:t xml:space="preserve">Adopt the same SSB-to-RO </w:t>
      </w:r>
      <w:proofErr w:type="spellStart"/>
      <w:r w:rsidR="00C95ED8">
        <w:rPr>
          <w:lang w:val="en-GB"/>
        </w:rPr>
        <w:t>N</w:t>
      </w:r>
      <w:r w:rsidR="00C95ED8" w:rsidRPr="00C95ED8">
        <w:rPr>
          <w:vertAlign w:val="subscript"/>
          <w:lang w:val="en-GB"/>
        </w:rPr>
        <w:t>gap</w:t>
      </w:r>
      <w:proofErr w:type="spellEnd"/>
      <w:r w:rsidR="00C95ED8">
        <w:rPr>
          <w:lang w:val="en-GB"/>
        </w:rPr>
        <w:t xml:space="preserve"> </w:t>
      </w:r>
      <w:r>
        <w:rPr>
          <w:lang w:val="en-GB"/>
        </w:rPr>
        <w:t>margins as are valid for legacy operation.</w:t>
      </w:r>
      <w:bookmarkEnd w:id="29"/>
    </w:p>
    <w:p w14:paraId="5F33E2B1" w14:textId="545C8D32" w:rsidR="000B666C" w:rsidRPr="00085C06" w:rsidRDefault="000B666C" w:rsidP="00085C06">
      <w:r>
        <w:t>In this context, it is worth noting that there are also general transition gaps in NR</w:t>
      </w:r>
      <w:r w:rsidR="0057078C">
        <w:t xml:space="preserve"> from Rx to Tx and vice versa</w:t>
      </w:r>
      <w:r>
        <w:t>, as presented in TS 38.211, </w:t>
      </w:r>
      <w:r w:rsidR="008D7539">
        <w:t>§ </w:t>
      </w:r>
      <w:r>
        <w:t>4.3</w:t>
      </w:r>
      <w:r w:rsidR="0057078C">
        <w:t xml:space="preserve">. These gaps are approximately 13 µs and 7 µs for FR1 and FR2, respectively. </w:t>
      </w:r>
      <w:r w:rsidR="00D0589B">
        <w:t>T</w:t>
      </w:r>
      <w:r w:rsidR="0057078C">
        <w:t xml:space="preserve">hat implies that Rx and Tx are separated by </w:t>
      </w:r>
      <w:r w:rsidR="00D0589B">
        <w:t xml:space="preserve">at least </w:t>
      </w:r>
      <w:r w:rsidR="0057078C">
        <w:t xml:space="preserve">one </w:t>
      </w:r>
      <w:r w:rsidR="00D0589B">
        <w:t>or</w:t>
      </w:r>
      <w:r w:rsidR="0057078C">
        <w:t xml:space="preserve"> </w:t>
      </w:r>
      <w:r w:rsidR="009F7EEA">
        <w:t>two symbols</w:t>
      </w:r>
      <w:r w:rsidR="00227321">
        <w:t>, depending on numerology</w:t>
      </w:r>
      <w:r w:rsidR="009F7EEA">
        <w:t>, disregarding channel propagation and TA settings</w:t>
      </w:r>
      <w:r w:rsidR="0057078C">
        <w:t>.</w:t>
      </w:r>
      <w:r w:rsidR="00F67533">
        <w:t xml:space="preserve"> However, it does not necessarily mean that DL and UL symbols need to be separated with the same amount. A UE performing RA will not be scheduled to receive in the one or two symbols immediately preceding the RO. Hence, </w:t>
      </w:r>
      <w:r w:rsidR="00227321">
        <w:t>there is no need to take the general gap into account as a criterium for RO validation.</w:t>
      </w:r>
    </w:p>
    <w:p w14:paraId="2CFABA5D" w14:textId="25F1328C" w:rsidR="000366E5" w:rsidRPr="000366E5" w:rsidRDefault="00227321" w:rsidP="00F2751D">
      <w:pPr>
        <w:pStyle w:val="Observation"/>
        <w:rPr>
          <w:lang w:val="en-GB"/>
        </w:rPr>
      </w:pPr>
      <w:bookmarkStart w:id="30" w:name="_Toc174129756"/>
      <w:r w:rsidRPr="00085C06">
        <w:lastRenderedPageBreak/>
        <w:t>There is no need to consider the general Rx-to-Tx gap in TS 38.211, § 4.3</w:t>
      </w:r>
      <w:r w:rsidR="0007134D">
        <w:t>,</w:t>
      </w:r>
      <w:r w:rsidRPr="00085C06">
        <w:t xml:space="preserve"> as a criterium for RO validation</w:t>
      </w:r>
      <w:r w:rsidR="00BB0F58" w:rsidRPr="00085C06">
        <w:t>.</w:t>
      </w:r>
      <w:bookmarkStart w:id="31" w:name="_Toc174109480"/>
      <w:bookmarkStart w:id="32" w:name="_Toc174129456"/>
      <w:bookmarkStart w:id="33" w:name="_Toc174129583"/>
      <w:bookmarkStart w:id="34" w:name="_Toc174109481"/>
      <w:bookmarkStart w:id="35" w:name="_Toc174129457"/>
      <w:bookmarkStart w:id="36" w:name="_Toc174129584"/>
      <w:bookmarkStart w:id="37" w:name="_Toc174109482"/>
      <w:bookmarkStart w:id="38" w:name="_Toc174129458"/>
      <w:bookmarkStart w:id="39" w:name="_Toc174129585"/>
      <w:bookmarkStart w:id="40" w:name="_Toc174109483"/>
      <w:bookmarkStart w:id="41" w:name="_Toc174129459"/>
      <w:bookmarkStart w:id="42" w:name="_Toc174129586"/>
      <w:bookmarkEnd w:id="30"/>
      <w:bookmarkEnd w:id="31"/>
      <w:bookmarkEnd w:id="32"/>
      <w:bookmarkEnd w:id="33"/>
      <w:bookmarkEnd w:id="34"/>
      <w:bookmarkEnd w:id="35"/>
      <w:bookmarkEnd w:id="36"/>
      <w:bookmarkEnd w:id="37"/>
      <w:bookmarkEnd w:id="38"/>
      <w:bookmarkEnd w:id="39"/>
      <w:bookmarkEnd w:id="40"/>
      <w:bookmarkEnd w:id="41"/>
      <w:bookmarkEnd w:id="42"/>
    </w:p>
    <w:p w14:paraId="29508C53" w14:textId="30D4E2CC" w:rsidR="007D3B7E" w:rsidRDefault="007D3B7E" w:rsidP="007D3B7E">
      <w:pPr>
        <w:pStyle w:val="Heading2"/>
      </w:pPr>
      <w:r>
        <w:t>Power control</w:t>
      </w:r>
    </w:p>
    <w:p w14:paraId="12240540" w14:textId="49F069C8" w:rsidR="007D3B7E" w:rsidRPr="006D7DFF" w:rsidRDefault="007D3B7E" w:rsidP="00116C05">
      <w:r>
        <w:t>As we elaborate in Sec.</w:t>
      </w:r>
      <w:r w:rsidR="00CE50E8">
        <w:t> </w:t>
      </w:r>
      <w:r w:rsidR="00CE50E8">
        <w:fldChar w:fldCharType="begin"/>
      </w:r>
      <w:r w:rsidR="00CE50E8">
        <w:instrText xml:space="preserve"> REF _Ref170290604 \r \h </w:instrText>
      </w:r>
      <w:r w:rsidR="00CE50E8">
        <w:fldChar w:fldCharType="separate"/>
      </w:r>
      <w:r w:rsidR="007B45E5">
        <w:t>2.7</w:t>
      </w:r>
      <w:r w:rsidR="00CE50E8">
        <w:fldChar w:fldCharType="end"/>
      </w:r>
      <w:r>
        <w:t xml:space="preserve">, the interference levels in an SBFD symbol and an UL symbol may significantly differ. Furthermore, interference levels will differ among SBFD symbols, predominantly depending on DL traffic load for the </w:t>
      </w:r>
      <w:proofErr w:type="gramStart"/>
      <w:r>
        <w:t>particular SBFD</w:t>
      </w:r>
      <w:proofErr w:type="gramEnd"/>
      <w:r>
        <w:t xml:space="preserve"> symbol. Fortunately, the load is known by the gNB since the gNB itself is responsible for it, provided self-interference is the dominant factor. However, that may not always be the case, for which reason a separate power control is sensible. That would allow the network to configure approximately the same detection performance between legacy ROs and SBFD ROs for a base load scenario for the single configuration. Additionally, it allows adjusting detection sensitivity vs range for the additional RACH configuration in the dual RACH configuration option.</w:t>
      </w:r>
    </w:p>
    <w:p w14:paraId="0AEA2B77" w14:textId="77777777" w:rsidR="007D3B7E" w:rsidRPr="001459D3" w:rsidRDefault="007D3B7E" w:rsidP="00CA68E3">
      <w:pPr>
        <w:pStyle w:val="Proposal"/>
      </w:pPr>
      <w:bookmarkStart w:id="43" w:name="_Toc166256782"/>
      <w:bookmarkStart w:id="44" w:name="_Toc174129767"/>
      <w:r>
        <w:t>Support separate power control for SBFD ROs for both single and dual RACH configurations.</w:t>
      </w:r>
      <w:bookmarkEnd w:id="43"/>
      <w:bookmarkEnd w:id="44"/>
    </w:p>
    <w:p w14:paraId="7D4B8B5A" w14:textId="77777777" w:rsidR="007D3B7E" w:rsidRDefault="007D3B7E" w:rsidP="007D3B7E">
      <w:pPr>
        <w:pStyle w:val="Heading2"/>
      </w:pPr>
      <w:r>
        <w:t>Prioritization</w:t>
      </w:r>
    </w:p>
    <w:p w14:paraId="562E0530" w14:textId="5D0DA675" w:rsidR="007D3B7E" w:rsidRDefault="009077CA" w:rsidP="00116C05">
      <w:r>
        <w:t>T</w:t>
      </w:r>
      <w:r w:rsidR="007D3B7E">
        <w:t xml:space="preserve">he </w:t>
      </w:r>
      <w:r>
        <w:t xml:space="preserve">primary </w:t>
      </w:r>
      <w:r w:rsidR="007D3B7E">
        <w:t>deployment scenario and use case for the single SBFD RACH configuration is industrial and enterprise deployments</w:t>
      </w:r>
      <w:r>
        <w:t>. C</w:t>
      </w:r>
      <w:r w:rsidR="007D3B7E">
        <w:t>onsidering both capacity and latency bottlenecks, there are good arguments both in favor of and against prioritization</w:t>
      </w:r>
      <w:r>
        <w:t xml:space="preserve"> between legacy ROs and SBFD ROs</w:t>
      </w:r>
      <w:r w:rsidR="007D3B7E">
        <w:t xml:space="preserve">. </w:t>
      </w:r>
      <w:r>
        <w:t>An argument i</w:t>
      </w:r>
      <w:r w:rsidR="007D3B7E">
        <w:t xml:space="preserve">n favor of prioritization is to steer SBFD capable UEs away from sparse legacy RO locations, </w:t>
      </w:r>
      <w:r>
        <w:t xml:space="preserve">an argument </w:t>
      </w:r>
      <w:r w:rsidR="007D3B7E">
        <w:t>against prioritization is that for low latency scenarios, a UE should be allowed to use whichever RO it finds most suitable. For that reason, whether any prioritization should be made should be up to network configuration.</w:t>
      </w:r>
    </w:p>
    <w:p w14:paraId="3E89E844" w14:textId="77777777" w:rsidR="007D3B7E" w:rsidRPr="00D454C2" w:rsidRDefault="007D3B7E" w:rsidP="00116C05">
      <w:r>
        <w:t>For the dual SBFD configuration case, the additional RACH configuration may introduce increased RACH performance in terms of coverage or range. Even for this case it is sensible to allow for some configurability, considering, e.g., assumptions on UE distribution in relation to the range or coverage situation of different UEs. Hence, we propose to support network configuration of prioritization between SBFD and legacy ROs for both the single and dual RACH options.</w:t>
      </w:r>
    </w:p>
    <w:p w14:paraId="4BA04CC6" w14:textId="77777777" w:rsidR="007D3B7E" w:rsidRPr="00404BB0" w:rsidRDefault="007D3B7E" w:rsidP="00CA68E3">
      <w:pPr>
        <w:pStyle w:val="Proposal"/>
        <w:rPr>
          <w:lang w:val="x-none"/>
        </w:rPr>
      </w:pPr>
      <w:bookmarkStart w:id="45" w:name="_Toc166256783"/>
      <w:bookmarkStart w:id="46" w:name="_Toc174129768"/>
      <w:r>
        <w:t>Support configuration of prioritization between SBFD and legacy ROs for both single and dual RACH configurations.</w:t>
      </w:r>
      <w:bookmarkEnd w:id="45"/>
      <w:bookmarkEnd w:id="46"/>
    </w:p>
    <w:p w14:paraId="5FAE1A20" w14:textId="77777777" w:rsidR="007D3B7E" w:rsidRPr="00404BB0" w:rsidRDefault="007D3B7E" w:rsidP="00116C05">
      <w:pPr>
        <w:rPr>
          <w:lang w:val="x-none"/>
        </w:rPr>
      </w:pPr>
      <w:r w:rsidRPr="00404BB0">
        <w:t>However, we also acknowledge that this area is bordering on RAN2’s responsibilities</w:t>
      </w:r>
      <w:r>
        <w:t>, which is why RAN1 should be careful with making too far-reaching agreements independent of RAN2.</w:t>
      </w:r>
    </w:p>
    <w:p w14:paraId="16B0586F" w14:textId="77777777" w:rsidR="007D3B7E" w:rsidRDefault="007D3B7E" w:rsidP="007D3B7E">
      <w:pPr>
        <w:pStyle w:val="Heading2"/>
      </w:pPr>
      <w:r>
        <w:t>Repetitions</w:t>
      </w:r>
    </w:p>
    <w:p w14:paraId="063D64BB" w14:textId="38B122D5" w:rsidR="007D3B7E" w:rsidRPr="000E116E" w:rsidRDefault="007D3B7E" w:rsidP="00116C05">
      <w:r>
        <w:t>In RAN1 #116, PRACH repetitions were briefly discussed with the following outcome</w:t>
      </w:r>
      <w:r w:rsidR="00C45736">
        <w:t> </w:t>
      </w:r>
      <w:r w:rsidR="00C45736">
        <w:fldChar w:fldCharType="begin"/>
      </w:r>
      <w:r w:rsidR="00C45736">
        <w:instrText xml:space="preserve"> REF _Ref174087827 \n \h </w:instrText>
      </w:r>
      <w:r w:rsidR="00C45736">
        <w:fldChar w:fldCharType="separate"/>
      </w:r>
      <w:r w:rsidR="007B45E5">
        <w:t>[2]</w:t>
      </w:r>
      <w:r w:rsidR="00C45736">
        <w:fldChar w:fldCharType="end"/>
      </w:r>
      <w:r>
        <w:t>:</w:t>
      </w:r>
    </w:p>
    <w:tbl>
      <w:tblPr>
        <w:tblStyle w:val="TableGrid"/>
        <w:tblW w:w="0" w:type="auto"/>
        <w:tblLook w:val="04A0" w:firstRow="1" w:lastRow="0" w:firstColumn="1" w:lastColumn="0" w:noHBand="0" w:noVBand="1"/>
      </w:tblPr>
      <w:tblGrid>
        <w:gridCol w:w="9629"/>
      </w:tblGrid>
      <w:tr w:rsidR="007D3B7E" w14:paraId="1017EB0E" w14:textId="77777777" w:rsidTr="00B35487">
        <w:tc>
          <w:tcPr>
            <w:tcW w:w="9629" w:type="dxa"/>
          </w:tcPr>
          <w:p w14:paraId="7C4E1B91" w14:textId="77777777" w:rsidR="007D3B7E" w:rsidRPr="00612C89" w:rsidRDefault="007D3B7E" w:rsidP="00612C89">
            <w:pPr>
              <w:spacing w:before="240"/>
              <w:rPr>
                <w:rFonts w:ascii="Times New Roman" w:hAnsi="Times New Roman" w:cs="Times New Roman"/>
                <w:b/>
                <w:bCs/>
                <w:sz w:val="20"/>
                <w:szCs w:val="20"/>
                <w:highlight w:val="green"/>
              </w:rPr>
            </w:pPr>
            <w:r w:rsidRPr="00612C89">
              <w:rPr>
                <w:rFonts w:ascii="Times New Roman" w:hAnsi="Times New Roman" w:cs="Times New Roman"/>
                <w:b/>
                <w:bCs/>
                <w:sz w:val="20"/>
                <w:szCs w:val="20"/>
                <w:highlight w:val="green"/>
              </w:rPr>
              <w:t>Agreement</w:t>
            </w:r>
          </w:p>
          <w:p w14:paraId="5B848E5F" w14:textId="77777777" w:rsidR="007D3B7E" w:rsidRPr="00612C89" w:rsidRDefault="007D3B7E" w:rsidP="00116C05">
            <w:pPr>
              <w:rPr>
                <w:rFonts w:ascii="Times New Roman" w:hAnsi="Times New Roman" w:cs="Times New Roman"/>
                <w:sz w:val="20"/>
                <w:szCs w:val="20"/>
              </w:rPr>
            </w:pPr>
            <w:r w:rsidRPr="00612C89">
              <w:rPr>
                <w:rFonts w:ascii="Times New Roman" w:hAnsi="Times New Roman" w:cs="Times New Roman"/>
                <w:sz w:val="20"/>
                <w:szCs w:val="20"/>
              </w:rPr>
              <w:t>For SBFD aware UEs in RRC CONNECTED state, at least PRACH without repetition is supported in SBFD symbols.</w:t>
            </w:r>
          </w:p>
          <w:p w14:paraId="0756C6BB" w14:textId="77777777" w:rsidR="007D3B7E" w:rsidRPr="00612C89" w:rsidRDefault="007D3B7E" w:rsidP="00116C05">
            <w:pPr>
              <w:pStyle w:val="ListParagraph"/>
              <w:numPr>
                <w:ilvl w:val="0"/>
                <w:numId w:val="25"/>
              </w:numPr>
              <w:rPr>
                <w:rFonts w:ascii="Times New Roman" w:hAnsi="Times New Roman" w:cs="Times New Roman"/>
                <w:sz w:val="20"/>
                <w:szCs w:val="20"/>
              </w:rPr>
            </w:pPr>
            <w:r w:rsidRPr="00612C89">
              <w:rPr>
                <w:rFonts w:ascii="Times New Roman" w:hAnsi="Times New Roman" w:cs="Times New Roman"/>
                <w:sz w:val="20"/>
                <w:szCs w:val="20"/>
              </w:rPr>
              <w:t>FFS PRACH repetition in SBFD symbols.</w:t>
            </w:r>
          </w:p>
          <w:p w14:paraId="27129CD9" w14:textId="77777777" w:rsidR="007D3B7E" w:rsidRPr="007F2A38" w:rsidRDefault="007D3B7E" w:rsidP="00612C89">
            <w:pPr>
              <w:pStyle w:val="ListParagraph"/>
              <w:numPr>
                <w:ilvl w:val="0"/>
                <w:numId w:val="25"/>
              </w:numPr>
              <w:spacing w:after="240"/>
            </w:pPr>
            <w:r w:rsidRPr="00612C89">
              <w:rPr>
                <w:rFonts w:ascii="Times New Roman" w:hAnsi="Times New Roman" w:cs="Times New Roman"/>
                <w:sz w:val="20"/>
                <w:szCs w:val="20"/>
              </w:rPr>
              <w:t>FFS PRACH repetition across SBFD symbols and non-SBFDs symbols.</w:t>
            </w:r>
          </w:p>
        </w:tc>
      </w:tr>
    </w:tbl>
    <w:p w14:paraId="00A130BC" w14:textId="3C6D150A" w:rsidR="007D3B7E" w:rsidRPr="00766B5F" w:rsidRDefault="007D3B7E" w:rsidP="00085C06">
      <w:pPr>
        <w:spacing w:before="240"/>
      </w:pPr>
      <w:r w:rsidRPr="00766B5F">
        <w:t>PRACH preamble repetitions were introduced in Rel-18 to improve cell coverage. In short, it allows for non-coherent combining of a PRACH preamble that is transmitted repetitively in multiple ROs. The number of repetitions is determined from a combination of network configuration and UE measurements. We do</w:t>
      </w:r>
      <w:r w:rsidR="007D2FEA">
        <w:t xml:space="preserve"> </w:t>
      </w:r>
      <w:r w:rsidRPr="00766B5F">
        <w:t>n</w:t>
      </w:r>
      <w:r w:rsidR="007D2FEA">
        <w:t>o</w:t>
      </w:r>
      <w:r w:rsidRPr="00766B5F">
        <w:t>t see any obstacle to include repetitions in the SBFD random access work, but doing so will, in our view, call for some ca</w:t>
      </w:r>
      <w:r>
        <w:t>u</w:t>
      </w:r>
      <w:r w:rsidRPr="00766B5F">
        <w:t>tion on how repetitions are performed.</w:t>
      </w:r>
    </w:p>
    <w:p w14:paraId="42D75C10" w14:textId="604E3FA1" w:rsidR="007D3B7E" w:rsidRPr="00766B5F" w:rsidRDefault="007D3B7E" w:rsidP="00116C05">
      <w:r w:rsidRPr="00766B5F">
        <w:lastRenderedPageBreak/>
        <w:t xml:space="preserve">For the double PRACH configuration case, it is obvious that ROs are limited to ROs associated with the same PRACH configuration. Consequently, repetitions may only take place </w:t>
      </w:r>
      <w:r w:rsidR="007D2FEA">
        <w:t>for</w:t>
      </w:r>
      <w:r w:rsidRPr="00766B5F">
        <w:t xml:space="preserve"> SBFD ROs in case the dedicated SBFD PRACH configuration is used and correspondingly </w:t>
      </w:r>
      <w:r w:rsidR="007D2FEA">
        <w:t xml:space="preserve">only for legacy ROs </w:t>
      </w:r>
      <w:r w:rsidRPr="00766B5F">
        <w:t>for the legacy PRACH configuration.</w:t>
      </w:r>
    </w:p>
    <w:p w14:paraId="5AF39B64" w14:textId="4471047F" w:rsidR="007D3B7E" w:rsidRPr="00766B5F" w:rsidRDefault="007D3B7E" w:rsidP="00116C05">
      <w:r w:rsidRPr="00766B5F">
        <w:t>For the single PRACH configuration case, the situation is a bit more complicated. In our understanding, it is necessary that SSB-to-RO mapping is separated for legacy ROs and SBFD ROs. However, that does not necessarily exclude both sets of ROs being used for PRACH repetitions. Allowing repetitions over both sets of ROs would allow for optimized latency for poor coverage scenarios where repetitions may be useful. On the other hand, it would also put some additional complexity requirements on the gNB where multiple repetition hypotheses would be necessary, to cover both legacy UE repetitions over legacy ROs and SBFD capable UEs transmitting PRACH over both sets of ROs. What is potentially worse, differentiating legacy UEs</w:t>
      </w:r>
      <w:r w:rsidR="005B648F">
        <w:t>, using only legacy ROs</w:t>
      </w:r>
      <w:r w:rsidRPr="00766B5F">
        <w:t xml:space="preserve"> from SBFD UEs</w:t>
      </w:r>
      <w:r w:rsidR="005B648F">
        <w:t>, using both legacy and SBFD ROs,</w:t>
      </w:r>
      <w:r w:rsidRPr="00766B5F">
        <w:t xml:space="preserve"> during random access may not be possible, </w:t>
      </w:r>
      <w:r w:rsidR="005B648F">
        <w:t>increasing the number of hypotheses the gNB need to test for</w:t>
      </w:r>
      <w:r w:rsidRPr="00766B5F">
        <w:t xml:space="preserve">. Additionally, the SINR between the two sets of ROs </w:t>
      </w:r>
      <w:r w:rsidR="005B648F">
        <w:t xml:space="preserve">may substantially </w:t>
      </w:r>
      <w:r w:rsidRPr="00766B5F">
        <w:t xml:space="preserve">differ, such that repetitions over both sets have a limited use. </w:t>
      </w:r>
      <w:r w:rsidR="005B648F">
        <w:t>Our conclusion is then that also for the single PRACH configuration, repetitions should be performed separately for legacy and SBFD ROs</w:t>
      </w:r>
      <w:r w:rsidRPr="00766B5F">
        <w:t>.</w:t>
      </w:r>
    </w:p>
    <w:p w14:paraId="4E9D3EDE" w14:textId="77777777" w:rsidR="007D3B7E" w:rsidRDefault="007D3B7E" w:rsidP="00CA68E3">
      <w:pPr>
        <w:pStyle w:val="Observation"/>
      </w:pPr>
      <w:bookmarkStart w:id="47" w:name="_Toc163239638"/>
      <w:bookmarkStart w:id="48" w:name="_Toc166256767"/>
      <w:bookmarkStart w:id="49" w:name="_Toc174129757"/>
      <w:r>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bookmarkEnd w:id="47"/>
      <w:bookmarkEnd w:id="48"/>
      <w:bookmarkEnd w:id="49"/>
    </w:p>
    <w:p w14:paraId="0181A7F0" w14:textId="2760656E" w:rsidR="007D3B7E" w:rsidRDefault="007D3B7E" w:rsidP="00CA68E3">
      <w:pPr>
        <w:pStyle w:val="Proposal"/>
      </w:pPr>
      <w:bookmarkStart w:id="50" w:name="_Toc163239655"/>
      <w:bookmarkStart w:id="51" w:name="_Toc166256784"/>
      <w:bookmarkStart w:id="52" w:name="_Toc174129769"/>
      <w:r w:rsidRPr="000E116E">
        <w:t xml:space="preserve">SBFD random access supports PRACH </w:t>
      </w:r>
      <w:r w:rsidR="00D32E3A">
        <w:t xml:space="preserve">preamble </w:t>
      </w:r>
      <w:r w:rsidRPr="000E116E">
        <w:t>repetitions</w:t>
      </w:r>
      <w:r w:rsidR="007B07DF">
        <w:t xml:space="preserve"> </w:t>
      </w:r>
      <w:r w:rsidR="00D32E3A" w:rsidRPr="00277F24">
        <w:t xml:space="preserve">using only </w:t>
      </w:r>
      <w:r w:rsidR="007B07DF" w:rsidRPr="00277F24">
        <w:t>SBFD ROs</w:t>
      </w:r>
      <w:r w:rsidRPr="000E116E">
        <w:t>.</w:t>
      </w:r>
      <w:bookmarkEnd w:id="50"/>
      <w:bookmarkEnd w:id="51"/>
      <w:bookmarkEnd w:id="52"/>
    </w:p>
    <w:p w14:paraId="42BFEE42" w14:textId="0F573114" w:rsidR="00C13B27" w:rsidRDefault="00F75007" w:rsidP="00F75007">
      <w:pPr>
        <w:pStyle w:val="Heading2"/>
      </w:pPr>
      <w:bookmarkStart w:id="53" w:name="_Toc163219935"/>
      <w:bookmarkStart w:id="54" w:name="_Toc163133521"/>
      <w:bookmarkStart w:id="55" w:name="_Toc163133578"/>
      <w:bookmarkStart w:id="56" w:name="_Toc163219936"/>
      <w:bookmarkStart w:id="57" w:name="_Toc163133522"/>
      <w:bookmarkStart w:id="58" w:name="_Toc163133579"/>
      <w:bookmarkStart w:id="59" w:name="_Toc163219937"/>
      <w:bookmarkStart w:id="60" w:name="_Toc163219938"/>
      <w:bookmarkStart w:id="61" w:name="_Toc163219939"/>
      <w:bookmarkStart w:id="62" w:name="_Toc163219942"/>
      <w:bookmarkEnd w:id="53"/>
      <w:bookmarkEnd w:id="54"/>
      <w:bookmarkEnd w:id="55"/>
      <w:bookmarkEnd w:id="56"/>
      <w:bookmarkEnd w:id="57"/>
      <w:bookmarkEnd w:id="58"/>
      <w:bookmarkEnd w:id="59"/>
      <w:bookmarkEnd w:id="60"/>
      <w:bookmarkEnd w:id="61"/>
      <w:bookmarkEnd w:id="62"/>
      <w:r>
        <w:t>Considerations for the single RACH configuration</w:t>
      </w:r>
    </w:p>
    <w:p w14:paraId="2D5569C0" w14:textId="2F2E71B5" w:rsidR="005F75A0" w:rsidRPr="00766B5F" w:rsidRDefault="000366E5" w:rsidP="005F75A0">
      <w:r>
        <w:rPr>
          <w:lang w:val="en-GB" w:eastAsia="ja-JP"/>
        </w:rPr>
        <w:t>Somewhat related to the SSB-to-RO gap, but with a different order of magnitude, is the question about time locations for SBFD ROs in relation to legacy ROs. The benefit would be that more evenly distributed ROs would reduce initial access latency. In our view</w:t>
      </w:r>
      <w:r w:rsidR="00EA4885">
        <w:rPr>
          <w:lang w:val="en-GB" w:eastAsia="ja-JP"/>
        </w:rPr>
        <w:t>,</w:t>
      </w:r>
      <w:r>
        <w:rPr>
          <w:lang w:val="en-GB" w:eastAsia="ja-JP"/>
        </w:rPr>
        <w:t xml:space="preserve"> this is an issue that is only valid for the single RACH configuration and does not affect he additional RACH configuration where latency is not a prioritized KPI. </w:t>
      </w:r>
      <w:r w:rsidR="00EA4885">
        <w:rPr>
          <w:lang w:val="en-GB" w:eastAsia="ja-JP"/>
        </w:rPr>
        <w:t xml:space="preserve">Introducing functionality for more evenly distributed ROs would also affect the SSB-to-RO distance. In our understanding, the absolute majority of Msg1 transmissions takes place </w:t>
      </w:r>
      <w:proofErr w:type="gramStart"/>
      <w:r w:rsidR="00EA4885">
        <w:rPr>
          <w:lang w:val="en-GB" w:eastAsia="ja-JP"/>
        </w:rPr>
        <w:t>subsequent to</w:t>
      </w:r>
      <w:proofErr w:type="gramEnd"/>
      <w:r w:rsidR="00EA4885">
        <w:rPr>
          <w:lang w:val="en-GB" w:eastAsia="ja-JP"/>
        </w:rPr>
        <w:t xml:space="preserve"> SSB measurements, often with some averaging over multiple SSBs. For latency reasons, there </w:t>
      </w:r>
      <w:r w:rsidR="00957BC7">
        <w:rPr>
          <w:lang w:val="en-GB" w:eastAsia="ja-JP"/>
        </w:rPr>
        <w:t xml:space="preserve">consequently </w:t>
      </w:r>
      <w:r w:rsidR="00EA4885">
        <w:rPr>
          <w:lang w:val="en-GB" w:eastAsia="ja-JP"/>
        </w:rPr>
        <w:t>is an advantage in maintain</w:t>
      </w:r>
      <w:r w:rsidR="00957BC7">
        <w:rPr>
          <w:lang w:val="en-GB" w:eastAsia="ja-JP"/>
        </w:rPr>
        <w:t>ing</w:t>
      </w:r>
      <w:r w:rsidR="00EA4885">
        <w:rPr>
          <w:lang w:val="en-GB" w:eastAsia="ja-JP"/>
        </w:rPr>
        <w:t xml:space="preserve"> ROs close to the SSBs to which they are associated, and not </w:t>
      </w:r>
      <w:r w:rsidR="00957BC7">
        <w:rPr>
          <w:lang w:val="en-GB" w:eastAsia="ja-JP"/>
        </w:rPr>
        <w:t>permutating</w:t>
      </w:r>
      <w:r w:rsidR="00EA4885">
        <w:rPr>
          <w:lang w:val="en-GB" w:eastAsia="ja-JP"/>
        </w:rPr>
        <w:t xml:space="preserve"> </w:t>
      </w:r>
      <w:r w:rsidR="00957BC7">
        <w:rPr>
          <w:lang w:val="en-GB" w:eastAsia="ja-JP"/>
        </w:rPr>
        <w:t>them</w:t>
      </w:r>
      <w:r w:rsidR="00EA4885">
        <w:rPr>
          <w:lang w:val="en-GB" w:eastAsia="ja-JP"/>
        </w:rPr>
        <w:t xml:space="preserve"> to be nearby another SSB.</w:t>
      </w:r>
    </w:p>
    <w:p w14:paraId="435F57D3" w14:textId="40C6B36E" w:rsidR="000366E5" w:rsidRPr="005F75A0" w:rsidRDefault="000366E5" w:rsidP="00085C06">
      <w:pPr>
        <w:pStyle w:val="Observation"/>
      </w:pPr>
      <w:bookmarkStart w:id="63" w:name="_Toc174129758"/>
      <w:r w:rsidRPr="005F75A0">
        <w:t>PRACH is intimately related to SSB measurements. To reduce latency, it is desirable to limit the duration between the RO and its associated SSB and not introduce shifts in the SSB-to-RO mapping.</w:t>
      </w:r>
      <w:bookmarkEnd w:id="63"/>
    </w:p>
    <w:p w14:paraId="461957C9" w14:textId="3CA69662" w:rsidR="00F75007" w:rsidRDefault="00F75007" w:rsidP="00F75007">
      <w:pPr>
        <w:pStyle w:val="Heading2"/>
      </w:pPr>
      <w:bookmarkStart w:id="64" w:name="_Ref170290604"/>
      <w:r>
        <w:t>Considerations for the additional RACH configuration</w:t>
      </w:r>
      <w:bookmarkEnd w:id="64"/>
    </w:p>
    <w:p w14:paraId="20909EFA" w14:textId="4717D544" w:rsidR="00F329F4" w:rsidRPr="004D092D" w:rsidRDefault="00F329F4" w:rsidP="00085C06">
      <w:r>
        <w:rPr>
          <w:lang w:val="en-GB" w:eastAsia="ja-JP"/>
        </w:rPr>
        <w:t>RAN1 #117 resulted in</w:t>
      </w:r>
      <w:r w:rsidR="0044204C">
        <w:rPr>
          <w:lang w:val="en-GB" w:eastAsia="ja-JP"/>
        </w:rPr>
        <w:t xml:space="preserve"> the</w:t>
      </w:r>
      <w:r>
        <w:rPr>
          <w:lang w:val="en-GB" w:eastAsia="ja-JP"/>
        </w:rPr>
        <w:t xml:space="preserve"> following two agreements regarding the additional RACH configuration</w:t>
      </w:r>
      <w:r w:rsidR="00C45736">
        <w:rPr>
          <w:lang w:val="en-GB" w:eastAsia="ja-JP"/>
        </w:rPr>
        <w:t> </w:t>
      </w:r>
      <w:r w:rsidR="00C45736">
        <w:rPr>
          <w:lang w:val="en-GB" w:eastAsia="ja-JP"/>
        </w:rPr>
        <w:fldChar w:fldCharType="begin"/>
      </w:r>
      <w:r w:rsidR="00C45736">
        <w:rPr>
          <w:lang w:val="en-GB" w:eastAsia="ja-JP"/>
        </w:rPr>
        <w:instrText xml:space="preserve"> REF _Ref174046641 \n \h </w:instrText>
      </w:r>
      <w:r w:rsidR="00C45736">
        <w:rPr>
          <w:lang w:val="en-GB" w:eastAsia="ja-JP"/>
        </w:rPr>
      </w:r>
      <w:r w:rsidR="00C45736">
        <w:rPr>
          <w:lang w:val="en-GB" w:eastAsia="ja-JP"/>
        </w:rPr>
        <w:fldChar w:fldCharType="separate"/>
      </w:r>
      <w:r w:rsidR="007B45E5">
        <w:rPr>
          <w:lang w:val="en-GB" w:eastAsia="ja-JP"/>
        </w:rPr>
        <w:t>[3]</w:t>
      </w:r>
      <w:r w:rsidR="00C45736">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855"/>
      </w:tblGrid>
      <w:tr w:rsidR="002D6CEE" w14:paraId="2CF03899" w14:textId="77777777" w:rsidTr="002D6CEE">
        <w:tc>
          <w:tcPr>
            <w:tcW w:w="9855" w:type="dxa"/>
          </w:tcPr>
          <w:p w14:paraId="60B7D747" w14:textId="77777777" w:rsidR="00F329F4" w:rsidRPr="00085C06" w:rsidRDefault="00F329F4" w:rsidP="00F329F4">
            <w:pPr>
              <w:widowControl w:val="0"/>
              <w:autoSpaceDE w:val="0"/>
              <w:autoSpaceDN w:val="0"/>
              <w:adjustRightInd w:val="0"/>
              <w:rPr>
                <w:rFonts w:ascii="Times New Roman" w:eastAsiaTheme="minorEastAsia" w:hAnsi="Times New Roman" w:cs="Times New Roman"/>
                <w:b/>
                <w:bCs/>
                <w:iCs/>
                <w:sz w:val="20"/>
                <w:szCs w:val="20"/>
                <w:lang w:eastAsia="ko-KR"/>
              </w:rPr>
            </w:pPr>
            <w:r w:rsidRPr="00085C06">
              <w:rPr>
                <w:rFonts w:ascii="Times New Roman" w:eastAsiaTheme="minorEastAsia" w:hAnsi="Times New Roman" w:cs="Times New Roman"/>
                <w:b/>
                <w:szCs w:val="20"/>
                <w:highlight w:val="green"/>
                <w:lang w:eastAsia="ko-KR"/>
              </w:rPr>
              <w:t>Agreement</w:t>
            </w:r>
          </w:p>
          <w:p w14:paraId="07CA9976" w14:textId="77777777" w:rsidR="00F329F4" w:rsidRPr="00085C06" w:rsidRDefault="00F329F4" w:rsidP="00F329F4">
            <w:pPr>
              <w:rPr>
                <w:rFonts w:ascii="Times New Roman" w:hAnsi="Times New Roman" w:cs="Times New Roman"/>
                <w:sz w:val="20"/>
                <w:szCs w:val="18"/>
              </w:rPr>
            </w:pPr>
            <w:r w:rsidRPr="00085C06">
              <w:rPr>
                <w:rFonts w:ascii="Times New Roman" w:hAnsi="Times New Roman" w:cs="Times New Roman"/>
                <w:szCs w:val="18"/>
              </w:rPr>
              <w:t xml:space="preserve">Update the following agreement made in RAN1#116-bis meeting: </w:t>
            </w:r>
          </w:p>
          <w:p w14:paraId="026DEF1B" w14:textId="77777777" w:rsidR="00F329F4" w:rsidRPr="00085C06" w:rsidRDefault="00F329F4" w:rsidP="00F329F4">
            <w:pPr>
              <w:rPr>
                <w:rFonts w:ascii="Times New Roman" w:hAnsi="Times New Roman" w:cs="Times New Roman"/>
                <w:sz w:val="20"/>
                <w:szCs w:val="18"/>
              </w:rPr>
            </w:pPr>
            <w:r w:rsidRPr="00085C06">
              <w:rPr>
                <w:rFonts w:ascii="Times New Roman" w:hAnsi="Times New Roman" w:cs="Times New Roman"/>
                <w:szCs w:val="18"/>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085C06">
              <w:rPr>
                <w:rFonts w:ascii="Times New Roman" w:hAnsi="Times New Roman" w:cs="Times New Roman"/>
                <w:i/>
                <w:szCs w:val="18"/>
              </w:rPr>
              <w:t>prach-ConfigurationIndex</w:t>
            </w:r>
            <w:proofErr w:type="spellEnd"/>
            <w:r w:rsidRPr="00085C06">
              <w:rPr>
                <w:rFonts w:ascii="Times New Roman" w:hAnsi="Times New Roman" w:cs="Times New Roman"/>
                <w:szCs w:val="18"/>
              </w:rPr>
              <w:t xml:space="preserve"> provided by the additional RACH configuration,</w:t>
            </w:r>
          </w:p>
          <w:p w14:paraId="4E7A8ADE"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For FR2,</w:t>
            </w:r>
            <w:r w:rsidRPr="00085C06">
              <w:rPr>
                <w:rFonts w:ascii="Times New Roman" w:eastAsia="Malgun Gothic" w:hAnsi="Times New Roman" w:cs="Times New Roman"/>
                <w:sz w:val="20"/>
                <w:szCs w:val="18"/>
                <w:lang w:val="en-US"/>
              </w:rPr>
              <w:t xml:space="preserve"> adopt </w:t>
            </w:r>
            <w:r w:rsidRPr="00085C06">
              <w:rPr>
                <w:rFonts w:ascii="Times New Roman" w:hAnsi="Times New Roman" w:cs="Times New Roman"/>
                <w:sz w:val="20"/>
                <w:szCs w:val="18"/>
                <w:lang w:val="en-US"/>
              </w:rPr>
              <w:t>the following:</w:t>
            </w:r>
          </w:p>
          <w:p w14:paraId="4E2E38FF" w14:textId="77777777" w:rsidR="00F329F4" w:rsidRPr="00085C06" w:rsidRDefault="00F329F4" w:rsidP="00F329F4">
            <w:pPr>
              <w:pStyle w:val="ListParagraph"/>
              <w:widowControl w:val="0"/>
              <w:numPr>
                <w:ilvl w:val="1"/>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 xml:space="preserve">Alt 1: use existing random access configurations table for unpaired spectrum (i.e., Table 6.3.3.2-4 in TS38.211) </w:t>
            </w:r>
          </w:p>
          <w:p w14:paraId="5E4D7104" w14:textId="77777777" w:rsidR="00F329F4" w:rsidRPr="00085C06" w:rsidRDefault="00F329F4" w:rsidP="00F329F4">
            <w:pPr>
              <w:pStyle w:val="ListParagraph"/>
              <w:widowControl w:val="0"/>
              <w:numPr>
                <w:ilvl w:val="2"/>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FFS whether to introduce new parameter(s) to determine the slot number for ROs in SBFD symbols.</w:t>
            </w:r>
          </w:p>
          <w:p w14:paraId="5BF5933F"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lastRenderedPageBreak/>
              <w:t xml:space="preserve">For FR1, </w:t>
            </w:r>
            <w:r w:rsidRPr="00085C06">
              <w:rPr>
                <w:rFonts w:ascii="Times New Roman" w:eastAsia="Malgun Gothic" w:hAnsi="Times New Roman" w:cs="Times New Roman"/>
                <w:sz w:val="20"/>
                <w:szCs w:val="18"/>
                <w:lang w:val="en-US"/>
              </w:rPr>
              <w:t>consider</w:t>
            </w:r>
            <w:r w:rsidRPr="00085C06">
              <w:rPr>
                <w:rFonts w:ascii="Times New Roman" w:hAnsi="Times New Roman" w:cs="Times New Roman"/>
                <w:sz w:val="20"/>
                <w:szCs w:val="18"/>
                <w:lang w:val="en-US"/>
              </w:rPr>
              <w:t xml:space="preserve"> from the following alternatives:</w:t>
            </w:r>
          </w:p>
          <w:p w14:paraId="771ECE32" w14:textId="77777777" w:rsidR="00F329F4" w:rsidRPr="00085C06" w:rsidRDefault="00F329F4" w:rsidP="00F329F4">
            <w:pPr>
              <w:pStyle w:val="ListParagraph"/>
              <w:widowControl w:val="0"/>
              <w:numPr>
                <w:ilvl w:val="1"/>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 xml:space="preserve">Alt 1: Use existing random access configurations table for unpaired spectrum (i.e., Table 6.3.3.2-3 in TS38.211) </w:t>
            </w:r>
          </w:p>
          <w:p w14:paraId="73D94D18" w14:textId="77777777" w:rsidR="00F329F4" w:rsidRPr="00085C06" w:rsidRDefault="00F329F4" w:rsidP="00F329F4">
            <w:pPr>
              <w:pStyle w:val="ListParagraph"/>
              <w:widowControl w:val="0"/>
              <w:numPr>
                <w:ilvl w:val="2"/>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FFS whether to introduce new parameter(s) to determine the subframe number for ROs in SBFD symbols.</w:t>
            </w:r>
          </w:p>
          <w:p w14:paraId="726F9883" w14:textId="77777777" w:rsidR="00F329F4" w:rsidRPr="00085C06" w:rsidRDefault="00F329F4" w:rsidP="00F329F4">
            <w:pPr>
              <w:pStyle w:val="ListParagraph"/>
              <w:widowControl w:val="0"/>
              <w:numPr>
                <w:ilvl w:val="1"/>
                <w:numId w:val="25"/>
              </w:numPr>
              <w:autoSpaceDE w:val="0"/>
              <w:autoSpaceDN w:val="0"/>
              <w:spacing w:line="240" w:lineRule="auto"/>
              <w:rPr>
                <w:rFonts w:ascii="Times New Roman" w:hAnsi="Times New Roman" w:cs="Times New Roman"/>
                <w:sz w:val="20"/>
                <w:szCs w:val="18"/>
                <w:lang w:val="en-US"/>
              </w:rPr>
            </w:pPr>
            <w:r w:rsidRPr="00085C06">
              <w:rPr>
                <w:rFonts w:ascii="Times New Roman" w:hAnsi="Times New Roman" w:cs="Times New Roman"/>
                <w:sz w:val="20"/>
                <w:szCs w:val="18"/>
                <w:lang w:val="en-US"/>
              </w:rPr>
              <w:t>Alt 2: Use existing random access configurations table for paired spectrum/supplementary uplink (i.e., Table 6.3.3.2-2 in TS38.211)</w:t>
            </w:r>
          </w:p>
          <w:p w14:paraId="309A6057" w14:textId="77777777" w:rsidR="002D6CEE" w:rsidRPr="00085C06" w:rsidRDefault="002D6CEE" w:rsidP="002D6CEE">
            <w:pPr>
              <w:rPr>
                <w:rFonts w:ascii="Times New Roman" w:hAnsi="Times New Roman" w:cs="Times New Roman"/>
                <w:lang w:eastAsia="ja-JP"/>
              </w:rPr>
            </w:pPr>
          </w:p>
          <w:p w14:paraId="2E80D5FA" w14:textId="77777777" w:rsidR="00F329F4" w:rsidRPr="00085C06" w:rsidRDefault="00F329F4" w:rsidP="00F329F4">
            <w:pPr>
              <w:rPr>
                <w:rFonts w:ascii="Times New Roman" w:hAnsi="Times New Roman" w:cs="Times New Roman"/>
                <w:b/>
                <w:bCs/>
                <w:sz w:val="20"/>
                <w:szCs w:val="20"/>
              </w:rPr>
            </w:pPr>
            <w:r w:rsidRPr="00085C06">
              <w:rPr>
                <w:rFonts w:ascii="Times New Roman" w:hAnsi="Times New Roman" w:cs="Times New Roman"/>
                <w:b/>
                <w:szCs w:val="20"/>
                <w:highlight w:val="green"/>
              </w:rPr>
              <w:t>Agreement</w:t>
            </w:r>
          </w:p>
          <w:p w14:paraId="1F9DB33C" w14:textId="77777777" w:rsidR="00F329F4" w:rsidRPr="00085C06" w:rsidRDefault="00F329F4" w:rsidP="00F329F4">
            <w:pPr>
              <w:rPr>
                <w:rFonts w:ascii="Times New Roman" w:hAnsi="Times New Roman" w:cs="Times New Roman"/>
                <w:color w:val="000000" w:themeColor="text1"/>
                <w:sz w:val="20"/>
                <w:szCs w:val="20"/>
              </w:rPr>
            </w:pPr>
            <w:r w:rsidRPr="00085C06">
              <w:rPr>
                <w:rFonts w:ascii="Times New Roman" w:hAnsi="Times New Roman" w:cs="Times New Roman"/>
                <w:color w:val="000000" w:themeColor="text1"/>
                <w:szCs w:val="20"/>
              </w:rPr>
              <w:t xml:space="preserve">A RO across SBFD symbols and non-SBFD symbols in the same slot or across slots is invalid by default. </w:t>
            </w:r>
          </w:p>
          <w:p w14:paraId="7FF1CF59" w14:textId="77777777" w:rsidR="00F329F4" w:rsidRPr="00085C06" w:rsidRDefault="00F329F4" w:rsidP="00F329F4">
            <w:pPr>
              <w:rPr>
                <w:rFonts w:ascii="Times New Roman" w:hAnsi="Times New Roman" w:cs="Times New Roman"/>
                <w:color w:val="000000" w:themeColor="text1"/>
                <w:sz w:val="20"/>
                <w:szCs w:val="20"/>
              </w:rPr>
            </w:pPr>
            <w:r w:rsidRPr="00085C06">
              <w:rPr>
                <w:rFonts w:ascii="Times New Roman" w:hAnsi="Times New Roman" w:cs="Times New Roman"/>
                <w:color w:val="000000" w:themeColor="text1"/>
                <w:szCs w:val="20"/>
              </w:rPr>
              <w:t>A configured RO starting from SBFD symbol and ending in</w:t>
            </w:r>
            <w:r w:rsidRPr="00085C06">
              <w:rPr>
                <w:rFonts w:ascii="Times New Roman" w:hAnsi="Times New Roman" w:cs="Times New Roman"/>
                <w:szCs w:val="20"/>
              </w:rPr>
              <w:t xml:space="preserve"> non-SBFD symbol either in the same slot or across different slots can be valid based on network configuration. This</w:t>
            </w:r>
            <w:r w:rsidRPr="00085C06">
              <w:rPr>
                <w:rFonts w:ascii="Times New Roman" w:eastAsia="DengXian" w:hAnsi="Times New Roman" w:cs="Times New Roman"/>
                <w:szCs w:val="20"/>
              </w:rPr>
              <w:t xml:space="preserve"> is only supported for RACH configuration option 2 and only supported for the ROs configured by the additional RACH configuration. </w:t>
            </w:r>
            <w:r w:rsidRPr="00085C06">
              <w:rPr>
                <w:rFonts w:ascii="Times New Roman" w:hAnsi="Times New Roman" w:cs="Times New Roman"/>
                <w:color w:val="000000" w:themeColor="text1"/>
                <w:szCs w:val="20"/>
              </w:rPr>
              <w:t>If network configures such RO as a valid RO, UE should treat the RO as an additional-RO in SBFD symbols, and the followings are assumed by network and UE:</w:t>
            </w:r>
          </w:p>
          <w:p w14:paraId="7AAC7F44"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The same frequency resources are used for both the SBFD segment and non-SBFD segment of the PRACH.</w:t>
            </w:r>
          </w:p>
          <w:p w14:paraId="469B504F"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The same UL transmit power is used for both the SBFD segment and non-SBFD segment of the PRACH.</w:t>
            </w:r>
          </w:p>
          <w:p w14:paraId="4F64C33C"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The same UL spatial domain filter is used for both the SBFD segment and non-SBFD segment of the PRACH.</w:t>
            </w:r>
          </w:p>
          <w:p w14:paraId="67A2BB26"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 xml:space="preserve">UE doesn’t stop PRACH transmission in the transition period/gap (if any) between SBFD and non-SBFD </w:t>
            </w:r>
            <w:proofErr w:type="gramStart"/>
            <w:r w:rsidRPr="00085C06">
              <w:rPr>
                <w:rFonts w:ascii="Times New Roman" w:hAnsi="Times New Roman" w:cs="Times New Roman"/>
                <w:color w:val="000000" w:themeColor="text1"/>
                <w:sz w:val="20"/>
                <w:szCs w:val="20"/>
                <w:lang w:val="en-US"/>
              </w:rPr>
              <w:t>symbols</w:t>
            </w:r>
            <w:proofErr w:type="gramEnd"/>
          </w:p>
          <w:p w14:paraId="68F27F49"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There are no phase coherency requirements on the UE between the SBFD segment and non-SBFD segment of the PRACH.</w:t>
            </w:r>
          </w:p>
          <w:p w14:paraId="3A0A1599" w14:textId="77777777" w:rsidR="00F329F4" w:rsidRPr="00085C06" w:rsidRDefault="00F329F4" w:rsidP="00F329F4">
            <w:pPr>
              <w:pStyle w:val="ListParagraph"/>
              <w:widowControl w:val="0"/>
              <w:numPr>
                <w:ilvl w:val="0"/>
                <w:numId w:val="25"/>
              </w:numPr>
              <w:autoSpaceDE w:val="0"/>
              <w:autoSpaceDN w:val="0"/>
              <w:spacing w:line="240" w:lineRule="auto"/>
              <w:rPr>
                <w:rFonts w:ascii="Times New Roman" w:hAnsi="Times New Roman" w:cs="Times New Roman"/>
                <w:color w:val="000000" w:themeColor="text1"/>
                <w:sz w:val="20"/>
                <w:szCs w:val="20"/>
                <w:lang w:val="en-US"/>
              </w:rPr>
            </w:pPr>
            <w:r w:rsidRPr="00085C06">
              <w:rPr>
                <w:rFonts w:ascii="Times New Roman" w:hAnsi="Times New Roman" w:cs="Times New Roman"/>
                <w:color w:val="000000" w:themeColor="text1"/>
                <w:sz w:val="20"/>
                <w:szCs w:val="20"/>
                <w:lang w:val="en-US"/>
              </w:rPr>
              <w:t>Other assumptions are not precluded.</w:t>
            </w:r>
          </w:p>
          <w:p w14:paraId="13332A73" w14:textId="604D2890" w:rsidR="00F329F4" w:rsidRPr="00085C06" w:rsidRDefault="00F329F4" w:rsidP="002D6CEE">
            <w:pPr>
              <w:rPr>
                <w:rFonts w:ascii="Times New Roman" w:hAnsi="Times New Roman" w:cs="Times New Roman"/>
                <w:color w:val="000000" w:themeColor="text1"/>
                <w:sz w:val="20"/>
                <w:szCs w:val="20"/>
              </w:rPr>
            </w:pPr>
            <w:r w:rsidRPr="00085C06">
              <w:rPr>
                <w:rFonts w:ascii="Times New Roman" w:hAnsi="Times New Roman" w:cs="Times New Roman"/>
                <w:color w:val="000000" w:themeColor="text1"/>
                <w:szCs w:val="20"/>
              </w:rPr>
              <w:t>NOTE: For FR2, network may need to ensure that the additional-RO and the legacy RO, which overlap with each other in time domain, are mapped to the same SSB.</w:t>
            </w:r>
          </w:p>
        </w:tc>
      </w:tr>
    </w:tbl>
    <w:p w14:paraId="55499FFF" w14:textId="77777777" w:rsidR="00F75007" w:rsidRDefault="00F75007" w:rsidP="00085C06">
      <w:pPr>
        <w:spacing w:before="240"/>
      </w:pPr>
      <w:r>
        <w:lastRenderedPageBreak/>
        <w:t>One remaining issue relating to the additional RACH configuration is what configuration tables to use. According to previous agreements, either the existing table for unpaired spectrum is used, or new entries may be introduced on top of the existing ones. Additionally, for FR1, the configuration tables for paired spectrum may be used. In our view, the existing tables provide sufficient flexibility for both FR1 and FR2, why Alt. 1 is preferred for both cases. As is evident from Table 6.3.3.2-2 and Table 6.3.3.2-3 in TS 38.211, e.g., for preamble formats 0 and 3, the same number of entries exist in both tables, providing the same amount of flexibility. Any exception from the already specified behavior should be properly justified.</w:t>
      </w:r>
    </w:p>
    <w:p w14:paraId="048BDBA6" w14:textId="77777777" w:rsidR="00F75007" w:rsidRPr="00D42EE9" w:rsidRDefault="00F75007" w:rsidP="00CA68E3">
      <w:pPr>
        <w:pStyle w:val="Proposal"/>
      </w:pPr>
      <w:bookmarkStart w:id="65" w:name="_Toc166256777"/>
      <w:bookmarkStart w:id="66" w:name="_Toc174129770"/>
      <w:r>
        <w:t xml:space="preserve">The additional RACH configuration uses the existing PRACH </w:t>
      </w:r>
      <w:r w:rsidRPr="00F316F7">
        <w:t>configurations table</w:t>
      </w:r>
      <w:r>
        <w:t>s</w:t>
      </w:r>
      <w:r w:rsidRPr="00F316F7">
        <w:t xml:space="preserve"> for unpaired spectrum</w:t>
      </w:r>
      <w:r>
        <w:t xml:space="preserve"> for both FR1 and FR2, </w:t>
      </w:r>
      <w:r w:rsidRPr="00F316F7">
        <w:t>i.e., Table 6.3.3.2-4</w:t>
      </w:r>
      <w:r>
        <w:t xml:space="preserve"> and </w:t>
      </w:r>
      <w:r w:rsidRPr="00F316F7">
        <w:t>Table 6.3.3.2-3</w:t>
      </w:r>
      <w:r>
        <w:t>, respectively (Alt. 1).</w:t>
      </w:r>
      <w:bookmarkEnd w:id="65"/>
      <w:bookmarkEnd w:id="66"/>
    </w:p>
    <w:p w14:paraId="047612E6" w14:textId="77777777" w:rsidR="00F75007" w:rsidRPr="00205CB4" w:rsidRDefault="00F75007" w:rsidP="00116C05">
      <w:r>
        <w:t>Closely related to the PRACH configuration tables and left as an FFS in the agreement, is whether any additional functionality is needed to control RO density, considering the PRACH tables have not been designed with the intention of using more than one table at a time. Hence, introducing a second PRACH configuration, or even including additional ROs in a single PRACH configuration, may result in unnecessarily large PRACH overhead. For that reason, it would be sensible to include a mechanism to further restrict the number of ROs such that not all SBFD ROs contained in SBFD symbols and the UL subband are validated. This may be achieved, e.g., by invalidating certain subframes among the set of valid subframes in the PRACH configuration.</w:t>
      </w:r>
    </w:p>
    <w:p w14:paraId="40BFBFBF" w14:textId="77777777" w:rsidR="00F75007" w:rsidRDefault="00F75007" w:rsidP="00CA68E3">
      <w:pPr>
        <w:pStyle w:val="Proposal"/>
      </w:pPr>
      <w:bookmarkStart w:id="67" w:name="_Toc166256778"/>
      <w:bookmarkStart w:id="68" w:name="_Toc174129771"/>
      <w:r>
        <w:t>For the additional RACH configuration, support further RO validation restrictions, e.g., by an RO puncturing bitmap.</w:t>
      </w:r>
      <w:bookmarkEnd w:id="67"/>
      <w:bookmarkEnd w:id="68"/>
    </w:p>
    <w:p w14:paraId="172BD316" w14:textId="690BB80D" w:rsidR="00F75007" w:rsidRDefault="00F75007" w:rsidP="00116C05">
      <w:r>
        <w:t>Also discussed in RAN1 #116-bis is the RO validation rules, where the two alternatives were whether ROs (entirely located) in non-SBFD symbols should be valid or not. Our view is that they should not, for a few reasons. First, there may be collisions with legacy ROs that would need resolution. Second, the additional RACH configuration</w:t>
      </w:r>
      <w:r w:rsidR="009E7462">
        <w:t xml:space="preserve"> in UL slots</w:t>
      </w:r>
      <w:r>
        <w:t xml:space="preserve"> would imply more PRACH resources than for legacy, and capacity is not the primary reason for introducing the additional RACH configuration</w:t>
      </w:r>
      <w:r w:rsidR="009E7462">
        <w:t xml:space="preserve">. Third, </w:t>
      </w:r>
      <w:proofErr w:type="gramStart"/>
      <w:r w:rsidR="009E7462">
        <w:t>as a consequence</w:t>
      </w:r>
      <w:r w:rsidR="002F3CED">
        <w:t xml:space="preserve"> of</w:t>
      </w:r>
      <w:proofErr w:type="gramEnd"/>
      <w:r w:rsidR="002F3CED">
        <w:t xml:space="preserve"> the second reason</w:t>
      </w:r>
      <w:r w:rsidR="009E7462">
        <w:t xml:space="preserve">, already </w:t>
      </w:r>
      <w:r w:rsidR="002F3CED">
        <w:t>scarce</w:t>
      </w:r>
      <w:r>
        <w:t xml:space="preserve"> UL capacity</w:t>
      </w:r>
      <w:r w:rsidR="009E7462">
        <w:t xml:space="preserve"> would be </w:t>
      </w:r>
      <w:r w:rsidR="002F3CED">
        <w:t xml:space="preserve">further </w:t>
      </w:r>
      <w:r w:rsidR="009E7462">
        <w:t>reduced</w:t>
      </w:r>
      <w:r>
        <w:t xml:space="preserve">. </w:t>
      </w:r>
      <w:r w:rsidR="009E7462">
        <w:t>Fourth</w:t>
      </w:r>
      <w:r>
        <w:t xml:space="preserve">, UL scheduling would be more </w:t>
      </w:r>
      <w:r>
        <w:lastRenderedPageBreak/>
        <w:t>complicated since contiguous Type 1 scheduling would not be applicable around the additional ROs in UL symbols, affecting scheduling efficiency.</w:t>
      </w:r>
    </w:p>
    <w:p w14:paraId="4C92D1C0" w14:textId="4DAB8CE8" w:rsidR="00F75007" w:rsidRPr="00693AF8" w:rsidRDefault="00A4525B" w:rsidP="00CA68E3">
      <w:pPr>
        <w:pStyle w:val="Proposal"/>
      </w:pPr>
      <w:bookmarkStart w:id="69" w:name="_Toc174109509"/>
      <w:bookmarkStart w:id="70" w:name="_Toc174129485"/>
      <w:bookmarkStart w:id="71" w:name="_Toc174129612"/>
      <w:bookmarkStart w:id="72" w:name="_Toc166256780"/>
      <w:bookmarkStart w:id="73" w:name="_Toc174129772"/>
      <w:bookmarkEnd w:id="69"/>
      <w:bookmarkEnd w:id="70"/>
      <w:bookmarkEnd w:id="71"/>
      <w:r>
        <w:t>A</w:t>
      </w:r>
      <w:r w:rsidRPr="00B31136">
        <w:t>dditional</w:t>
      </w:r>
      <w:r>
        <w:t xml:space="preserve"> </w:t>
      </w:r>
      <w:r w:rsidRPr="00B31136">
        <w:t xml:space="preserve">ROs </w:t>
      </w:r>
      <w:r>
        <w:t xml:space="preserve">entirely located </w:t>
      </w:r>
      <w:r w:rsidRPr="00B31136">
        <w:t>in non-SBFD symbols configured by additional RACH configuration are invalid for SBFD-aware UEs</w:t>
      </w:r>
      <w:r w:rsidR="00F75007">
        <w:t xml:space="preserve"> (Alt.</w:t>
      </w:r>
      <w:r w:rsidR="002D6CEE">
        <w:t> </w:t>
      </w:r>
      <w:r w:rsidR="00F75007">
        <w:t>2-3).</w:t>
      </w:r>
      <w:bookmarkEnd w:id="72"/>
      <w:bookmarkEnd w:id="73"/>
    </w:p>
    <w:p w14:paraId="792BE2F6" w14:textId="61276F40" w:rsidR="002D6CEE" w:rsidRDefault="00A4525B" w:rsidP="002D6CEE">
      <w:r>
        <w:t>Should</w:t>
      </w:r>
      <w:r w:rsidR="002D6CEE">
        <w:t xml:space="preserve"> RAN1 anyway agree to </w:t>
      </w:r>
      <w:r>
        <w:t xml:space="preserve">also </w:t>
      </w:r>
      <w:r w:rsidR="002D6CEE">
        <w:t xml:space="preserve">validate ROs entirely in non-SBFD symbols (Alt. 2-4), this </w:t>
      </w:r>
      <w:r>
        <w:t>should be</w:t>
      </w:r>
      <w:r w:rsidR="002D6CEE">
        <w:t xml:space="preserve"> done </w:t>
      </w:r>
      <w:r>
        <w:t xml:space="preserve">with care </w:t>
      </w:r>
      <w:r w:rsidR="002D6CEE">
        <w:t xml:space="preserve">to not jeopardize </w:t>
      </w:r>
      <w:r>
        <w:t xml:space="preserve">consistency of </w:t>
      </w:r>
      <w:r w:rsidR="009E7462">
        <w:t xml:space="preserve">the </w:t>
      </w:r>
      <w:r w:rsidR="002D6CEE">
        <w:t>preamble detectio</w:t>
      </w:r>
      <w:r>
        <w:t>n</w:t>
      </w:r>
      <w:r w:rsidR="002D6CEE">
        <w:t xml:space="preserve">. </w:t>
      </w:r>
      <w:r w:rsidR="009E7462">
        <w:t xml:space="preserve">That is, different kinds of ROs should not occur in the same configuration. </w:t>
      </w:r>
      <w:r w:rsidR="002D6CEE">
        <w:t xml:space="preserve">Considering the highly varying </w:t>
      </w:r>
      <w:r>
        <w:t xml:space="preserve">interference </w:t>
      </w:r>
      <w:r w:rsidR="002D6CEE">
        <w:t>conditions that will be found in SBFD and non-SBFD symbols, it is not desirable to mix ROs from the two symbol types</w:t>
      </w:r>
      <w:r>
        <w:t xml:space="preserve"> since that would result in unpredictable preamble detection performance and correspondingly unpredictable cell coverage</w:t>
      </w:r>
      <w:r w:rsidR="002D6CEE">
        <w:t xml:space="preserve">. </w:t>
      </w:r>
      <w:r>
        <w:t>For this reason,</w:t>
      </w:r>
      <w:r w:rsidR="002D6CEE">
        <w:t xml:space="preserve"> we propose to clearly indicate the valid RO based on three fundamental types</w:t>
      </w:r>
      <w:r w:rsidR="002F3CED">
        <w:t xml:space="preserve"> that are up for discussion</w:t>
      </w:r>
      <w:r w:rsidR="002D6CEE">
        <w:t>, two of which have already been agreed</w:t>
      </w:r>
      <w:r>
        <w:t xml:space="preserve">, see </w:t>
      </w:r>
      <w:r>
        <w:fldChar w:fldCharType="begin"/>
      </w:r>
      <w:r>
        <w:instrText xml:space="preserve"> REF _Ref174034801 \h </w:instrText>
      </w:r>
      <w:r>
        <w:fldChar w:fldCharType="separate"/>
      </w:r>
      <w:r w:rsidR="007B45E5">
        <w:t xml:space="preserve">Figure </w:t>
      </w:r>
      <w:r w:rsidR="007B45E5">
        <w:rPr>
          <w:noProof/>
        </w:rPr>
        <w:t>2</w:t>
      </w:r>
      <w:r>
        <w:fldChar w:fldCharType="end"/>
      </w:r>
      <w:r w:rsidR="002D6CEE">
        <w:t>:</w:t>
      </w:r>
    </w:p>
    <w:p w14:paraId="799B9121" w14:textId="0DC031F6" w:rsidR="005A1E36" w:rsidRPr="005A1E36" w:rsidRDefault="002D6CEE" w:rsidP="00085C06">
      <w:pPr>
        <w:pStyle w:val="ListParagraph"/>
        <w:numPr>
          <w:ilvl w:val="0"/>
          <w:numId w:val="29"/>
        </w:numPr>
        <w:rPr>
          <w:rFonts w:ascii="Arial" w:hAnsi="Arial" w:cs="Arial"/>
          <w:sz w:val="20"/>
          <w:szCs w:val="20"/>
        </w:rPr>
      </w:pPr>
      <w:bookmarkStart w:id="74" w:name="_Hlk174110144"/>
      <w:proofErr w:type="spellStart"/>
      <w:r w:rsidRPr="005A1E36">
        <w:rPr>
          <w:rFonts w:ascii="Arial" w:hAnsi="Arial" w:cs="Arial"/>
          <w:sz w:val="20"/>
          <w:szCs w:val="20"/>
        </w:rPr>
        <w:t>ROs</w:t>
      </w:r>
      <w:proofErr w:type="spellEnd"/>
      <w:r w:rsidRPr="005A1E36">
        <w:rPr>
          <w:rFonts w:ascii="Arial" w:hAnsi="Arial" w:cs="Arial"/>
          <w:sz w:val="20"/>
          <w:szCs w:val="20"/>
        </w:rPr>
        <w:t xml:space="preserve"> located entirely in SBFD symbols</w:t>
      </w:r>
      <w:r w:rsidR="002F3CED" w:rsidRPr="005A1E36">
        <w:rPr>
          <w:rFonts w:ascii="Arial" w:hAnsi="Arial" w:cs="Arial"/>
          <w:sz w:val="20"/>
          <w:szCs w:val="20"/>
        </w:rPr>
        <w:t xml:space="preserve">, which would be </w:t>
      </w:r>
      <w:r w:rsidR="00A4525B" w:rsidRPr="005A1E36">
        <w:rPr>
          <w:rFonts w:ascii="Arial" w:hAnsi="Arial" w:cs="Arial"/>
          <w:sz w:val="20"/>
          <w:szCs w:val="20"/>
        </w:rPr>
        <w:t>the default RO validation type,</w:t>
      </w:r>
      <w:bookmarkEnd w:id="74"/>
    </w:p>
    <w:p w14:paraId="42EC14EF" w14:textId="77777777" w:rsidR="005A1E36" w:rsidRPr="00BD3358" w:rsidRDefault="005A1E36" w:rsidP="005A1E36">
      <w:pPr>
        <w:pStyle w:val="ListParagraph"/>
        <w:numPr>
          <w:ilvl w:val="0"/>
          <w:numId w:val="27"/>
        </w:numPr>
        <w:rPr>
          <w:rFonts w:ascii="Arial" w:hAnsi="Arial" w:cs="Arial"/>
          <w:sz w:val="20"/>
          <w:szCs w:val="20"/>
        </w:rPr>
      </w:pPr>
      <w:proofErr w:type="spellStart"/>
      <w:r w:rsidRPr="00BD3358">
        <w:rPr>
          <w:rFonts w:ascii="Arial" w:hAnsi="Arial" w:cs="Arial"/>
          <w:sz w:val="20"/>
          <w:szCs w:val="20"/>
        </w:rPr>
        <w:t>ROs</w:t>
      </w:r>
      <w:proofErr w:type="spellEnd"/>
      <w:r w:rsidRPr="00BD3358">
        <w:rPr>
          <w:rFonts w:ascii="Arial" w:hAnsi="Arial" w:cs="Arial"/>
          <w:sz w:val="20"/>
          <w:szCs w:val="20"/>
        </w:rPr>
        <w:t xml:space="preserve"> starting in SBFD symbols and ending in non-SBFD symbols</w:t>
      </w:r>
      <w:r>
        <w:rPr>
          <w:rFonts w:ascii="Arial" w:hAnsi="Arial" w:cs="Arial"/>
          <w:sz w:val="20"/>
          <w:szCs w:val="20"/>
        </w:rPr>
        <w:t>, and</w:t>
      </w:r>
    </w:p>
    <w:p w14:paraId="75EBE8AA" w14:textId="77777777" w:rsidR="005A1E36" w:rsidRDefault="005A1E36" w:rsidP="005A1E36">
      <w:pPr>
        <w:pStyle w:val="ListParagraph"/>
        <w:numPr>
          <w:ilvl w:val="0"/>
          <w:numId w:val="27"/>
        </w:numPr>
        <w:rPr>
          <w:rFonts w:ascii="Arial" w:hAnsi="Arial" w:cs="Arial"/>
          <w:sz w:val="20"/>
          <w:szCs w:val="20"/>
        </w:rPr>
      </w:pPr>
      <w:proofErr w:type="spellStart"/>
      <w:r w:rsidRPr="00BD3358">
        <w:rPr>
          <w:rFonts w:ascii="Arial" w:hAnsi="Arial" w:cs="Arial"/>
          <w:sz w:val="20"/>
          <w:szCs w:val="20"/>
        </w:rPr>
        <w:t>ROs</w:t>
      </w:r>
      <w:proofErr w:type="spellEnd"/>
      <w:r w:rsidRPr="00BD3358">
        <w:rPr>
          <w:rFonts w:ascii="Arial" w:hAnsi="Arial" w:cs="Arial"/>
          <w:sz w:val="20"/>
          <w:szCs w:val="20"/>
        </w:rPr>
        <w:t xml:space="preserve"> located entirely in non-SBFD symbols</w:t>
      </w:r>
      <w:r>
        <w:rPr>
          <w:rFonts w:ascii="Arial" w:hAnsi="Arial" w:cs="Arial"/>
          <w:sz w:val="20"/>
          <w:szCs w:val="20"/>
        </w:rPr>
        <w:t>.</w:t>
      </w:r>
    </w:p>
    <w:p w14:paraId="7649CBC6" w14:textId="77777777" w:rsidR="005A1E36" w:rsidRPr="00A4525B" w:rsidRDefault="005A1E36" w:rsidP="00BD3358">
      <w:pPr>
        <w:rPr>
          <w:rFonts w:cs="Arial"/>
          <w:szCs w:val="20"/>
        </w:rPr>
      </w:pPr>
    </w:p>
    <w:p w14:paraId="081B5B40" w14:textId="77777777" w:rsidR="005A1E36" w:rsidRDefault="005A1E36" w:rsidP="00BD3358">
      <w:pPr>
        <w:pStyle w:val="ListParagraph"/>
        <w:keepNext/>
        <w:jc w:val="center"/>
      </w:pPr>
      <w:r>
        <w:object w:dxaOrig="4305" w:dyaOrig="2041" w14:anchorId="127F910B">
          <v:shape id="_x0000_i1026" type="#_x0000_t75" style="width:215.3pt;height:101.95pt" o:ole="">
            <v:imagedata r:id="rId13" o:title=""/>
          </v:shape>
          <o:OLEObject Type="Embed" ProgID="Visio.Drawing.15" ShapeID="_x0000_i1026" DrawAspect="Content" ObjectID="_1784749403" r:id="rId14"/>
        </w:object>
      </w:r>
    </w:p>
    <w:p w14:paraId="1C886485" w14:textId="0087A015" w:rsidR="005A1E36" w:rsidRDefault="005A1E36" w:rsidP="00BD3358">
      <w:pPr>
        <w:pStyle w:val="Caption"/>
        <w:jc w:val="center"/>
      </w:pPr>
      <w:bookmarkStart w:id="75" w:name="_Ref174034801"/>
      <w:r>
        <w:t xml:space="preserve">Figure </w:t>
      </w:r>
      <w:r>
        <w:fldChar w:fldCharType="begin"/>
      </w:r>
      <w:r>
        <w:instrText xml:space="preserve"> SEQ Figure \* ARABIC </w:instrText>
      </w:r>
      <w:r>
        <w:fldChar w:fldCharType="separate"/>
      </w:r>
      <w:r w:rsidR="007B45E5">
        <w:rPr>
          <w:noProof/>
        </w:rPr>
        <w:t>2</w:t>
      </w:r>
      <w:r>
        <w:fldChar w:fldCharType="end"/>
      </w:r>
      <w:bookmarkEnd w:id="75"/>
      <w:r>
        <w:t>: RO differentiation for coherent PRACH performance</w:t>
      </w:r>
      <w:r>
        <w:rPr>
          <w:noProof/>
        </w:rPr>
        <w:t>.</w:t>
      </w:r>
    </w:p>
    <w:p w14:paraId="1BCB8E2D" w14:textId="77777777" w:rsidR="005A1E36" w:rsidRDefault="005A1E36" w:rsidP="00085C06">
      <w:pPr>
        <w:rPr>
          <w:rFonts w:cs="Arial"/>
          <w:szCs w:val="20"/>
        </w:rPr>
      </w:pPr>
    </w:p>
    <w:p w14:paraId="7C82703D" w14:textId="601B8BB5" w:rsidR="002D6CEE" w:rsidRDefault="00A4525B" w:rsidP="00085C06">
      <w:r>
        <w:t>This leads us to the following observation and proposal:</w:t>
      </w:r>
    </w:p>
    <w:p w14:paraId="6B06BB9E" w14:textId="233928C2" w:rsidR="00F75007" w:rsidRDefault="00F75007" w:rsidP="00085C06">
      <w:pPr>
        <w:pStyle w:val="Observation"/>
      </w:pPr>
      <w:bookmarkStart w:id="76" w:name="_Toc174129759"/>
      <w:r>
        <w:t xml:space="preserve">Allowing ROs to </w:t>
      </w:r>
      <w:proofErr w:type="gramStart"/>
      <w:r>
        <w:t>be located in</w:t>
      </w:r>
      <w:proofErr w:type="gramEnd"/>
      <w:r>
        <w:t xml:space="preserve"> a mix of </w:t>
      </w:r>
      <w:r w:rsidR="00C45736">
        <w:t xml:space="preserve">only </w:t>
      </w:r>
      <w:r>
        <w:t xml:space="preserve">SBFD symbols, SBFD/UL/F symbols or only UL/F symbols will result in widely differing </w:t>
      </w:r>
      <w:r w:rsidR="00A4525B">
        <w:t>preamble detection</w:t>
      </w:r>
      <w:r>
        <w:t xml:space="preserve"> </w:t>
      </w:r>
      <w:r w:rsidR="00A4525B">
        <w:t>performance</w:t>
      </w:r>
      <w:r>
        <w:t xml:space="preserve"> </w:t>
      </w:r>
      <w:r w:rsidR="00A4525B">
        <w:t>among</w:t>
      </w:r>
      <w:r>
        <w:t xml:space="preserve"> different ROs.</w:t>
      </w:r>
      <w:bookmarkEnd w:id="76"/>
    </w:p>
    <w:p w14:paraId="7C58916F" w14:textId="191653B6" w:rsidR="00F75007" w:rsidRPr="004B314B" w:rsidRDefault="00F75007" w:rsidP="00CA68E3">
      <w:pPr>
        <w:pStyle w:val="Proposal"/>
      </w:pPr>
      <w:bookmarkStart w:id="77" w:name="_Toc174109511"/>
      <w:bookmarkStart w:id="78" w:name="_Toc174129487"/>
      <w:bookmarkStart w:id="79" w:name="_Toc174129614"/>
      <w:bookmarkStart w:id="80" w:name="_Toc174129773"/>
      <w:bookmarkEnd w:id="77"/>
      <w:bookmarkEnd w:id="78"/>
      <w:bookmarkEnd w:id="79"/>
      <w:r>
        <w:t>Unless Alt. 2-3 is agreed, s</w:t>
      </w:r>
      <w:r w:rsidRPr="004B314B">
        <w:t>upport configuration of RO locations into</w:t>
      </w:r>
      <w:r w:rsidR="0025276F">
        <w:t>:</w:t>
      </w:r>
      <w:bookmarkEnd w:id="80"/>
    </w:p>
    <w:p w14:paraId="6CD04509" w14:textId="32362AA6" w:rsidR="00F75007" w:rsidRPr="004B314B" w:rsidRDefault="00F75007" w:rsidP="0025276F">
      <w:pPr>
        <w:pStyle w:val="Proposal"/>
        <w:numPr>
          <w:ilvl w:val="1"/>
          <w:numId w:val="3"/>
        </w:numPr>
        <w:tabs>
          <w:tab w:val="clear" w:pos="10512"/>
          <w:tab w:val="num" w:pos="1440"/>
        </w:tabs>
        <w:ind w:left="1440"/>
      </w:pPr>
      <w:bookmarkStart w:id="81" w:name="_Toc174129774"/>
      <w:r w:rsidRPr="004B314B">
        <w:t xml:space="preserve">SBFD </w:t>
      </w:r>
      <w:r w:rsidR="00E533B8">
        <w:t xml:space="preserve">symbols </w:t>
      </w:r>
      <w:r w:rsidRPr="004B314B">
        <w:t>only</w:t>
      </w:r>
      <w:r w:rsidR="00E533B8">
        <w:t xml:space="preserve"> (default configuration)</w:t>
      </w:r>
      <w:bookmarkEnd w:id="81"/>
    </w:p>
    <w:p w14:paraId="0CF551E6" w14:textId="2B641C72" w:rsidR="00F75007" w:rsidRPr="004B314B" w:rsidRDefault="00F75007" w:rsidP="00085C06">
      <w:pPr>
        <w:pStyle w:val="Proposal"/>
        <w:numPr>
          <w:ilvl w:val="1"/>
          <w:numId w:val="3"/>
        </w:numPr>
        <w:tabs>
          <w:tab w:val="clear" w:pos="10512"/>
          <w:tab w:val="num" w:pos="1440"/>
        </w:tabs>
        <w:ind w:left="1440"/>
      </w:pPr>
      <w:bookmarkStart w:id="82" w:name="_Toc174129775"/>
      <w:r w:rsidRPr="004B314B">
        <w:t>SBFD</w:t>
      </w:r>
      <w:r w:rsidR="00E533B8">
        <w:t xml:space="preserve"> and </w:t>
      </w:r>
      <w:r w:rsidRPr="004B314B">
        <w:t>UL/F symbols</w:t>
      </w:r>
      <w:r w:rsidR="00E533B8">
        <w:t xml:space="preserve"> (per previous agreement)</w:t>
      </w:r>
      <w:bookmarkEnd w:id="82"/>
    </w:p>
    <w:p w14:paraId="49BF15C7" w14:textId="5EB2D280" w:rsidR="002D6CEE" w:rsidRDefault="00F75007" w:rsidP="00085C06">
      <w:pPr>
        <w:pStyle w:val="Proposal"/>
        <w:numPr>
          <w:ilvl w:val="1"/>
          <w:numId w:val="3"/>
        </w:numPr>
        <w:tabs>
          <w:tab w:val="clear" w:pos="10512"/>
          <w:tab w:val="num" w:pos="1440"/>
        </w:tabs>
        <w:ind w:left="1440"/>
      </w:pPr>
      <w:bookmarkStart w:id="83" w:name="_Toc174129776"/>
      <w:r w:rsidRPr="004B314B">
        <w:t xml:space="preserve">UL/F </w:t>
      </w:r>
      <w:r w:rsidR="00E533B8">
        <w:t xml:space="preserve">symbols </w:t>
      </w:r>
      <w:r w:rsidRPr="004B314B">
        <w:t>only</w:t>
      </w:r>
      <w:r w:rsidR="00E533B8">
        <w:t xml:space="preserve"> (new </w:t>
      </w:r>
      <w:r w:rsidR="005D7C65">
        <w:t>configuration</w:t>
      </w:r>
      <w:r w:rsidR="00E533B8">
        <w:t>)</w:t>
      </w:r>
      <w:bookmarkEnd w:id="83"/>
    </w:p>
    <w:p w14:paraId="70137F3B" w14:textId="7759A401" w:rsidR="007D2188" w:rsidRDefault="007A1F66" w:rsidP="007D2188">
      <w:r>
        <w:t xml:space="preserve">Considering what other RACH configuration parameters that need to be supported by the additional RACH configuration, the below may serve as a starting point for a discussion. Naturally, a new </w:t>
      </w:r>
      <w:proofErr w:type="spellStart"/>
      <w:r w:rsidR="00484812">
        <w:t>prach-ConfigrationIndex</w:t>
      </w:r>
      <w:proofErr w:type="spellEnd"/>
      <w:r>
        <w:t xml:space="preserve"> is needed, considering the main objective with the additional RACH configuration is to extend cell range for RA. </w:t>
      </w:r>
      <w:proofErr w:type="gramStart"/>
      <w:r>
        <w:t>As a consequence</w:t>
      </w:r>
      <w:proofErr w:type="gramEnd"/>
      <w:r>
        <w:t xml:space="preserve">, a new </w:t>
      </w:r>
      <w:r w:rsidR="00E6384E" w:rsidRPr="00E6384E">
        <w:t>msg1-SubcarrierSpacing</w:t>
      </w:r>
      <w:r w:rsidR="00E6384E">
        <w:t xml:space="preserve"> </w:t>
      </w:r>
      <w:r>
        <w:t>is also needed considering the long RACH formats are operating on different SCS compared to the short formats that are presently used. Another consequence of including the long formats is that a new msg1-FDM needs to be specified, to align the time-frequency resource of the additional preamble.</w:t>
      </w:r>
      <w:r w:rsidR="00FC2F1B">
        <w:t xml:space="preserve"> Closely related, it is also justifiable to specify a new msg1-FrequencyStart.</w:t>
      </w:r>
    </w:p>
    <w:p w14:paraId="78DF9AF5" w14:textId="4BE2FB68" w:rsidR="00E6384E" w:rsidRPr="007D2188" w:rsidRDefault="00E6384E" w:rsidP="00085C06">
      <w:r>
        <w:t xml:space="preserve">It is also reasonable to be able to separately configure the SSB-to-RO as well as the number of preambles (both total and contention based), since the requirements for SBFD RACH may differ significantly from legacy RACH. For this reason, </w:t>
      </w:r>
      <w:proofErr w:type="spellStart"/>
      <w:r w:rsidRPr="00E6384E">
        <w:t>ssb-perRACH-OccasionAndCB-PreamblesPerSSB</w:t>
      </w:r>
      <w:proofErr w:type="spellEnd"/>
      <w:r>
        <w:t xml:space="preserve"> and </w:t>
      </w:r>
      <w:proofErr w:type="spellStart"/>
      <w:r w:rsidRPr="00E6384E">
        <w:t>totalNumberOfRA</w:t>
      </w:r>
      <w:proofErr w:type="spellEnd"/>
      <w:r w:rsidRPr="00E6384E">
        <w:t>-Preambles</w:t>
      </w:r>
      <w:r>
        <w:t xml:space="preserve"> should be provided separately.</w:t>
      </w:r>
      <w:r w:rsidR="00E80243">
        <w:t xml:space="preserve"> Finally, since the additional configuration format (long vs short)</w:t>
      </w:r>
      <w:r w:rsidR="00F329F4">
        <w:t xml:space="preserve"> may differ from the legacy configuration</w:t>
      </w:r>
      <w:r w:rsidR="00E80243">
        <w:t xml:space="preserve">, the </w:t>
      </w:r>
      <w:proofErr w:type="spellStart"/>
      <w:r w:rsidR="00E80243">
        <w:t>prach-RootSequenceIndex</w:t>
      </w:r>
      <w:proofErr w:type="spellEnd"/>
      <w:r w:rsidR="00E80243">
        <w:t xml:space="preserve"> should also be separately provided.</w:t>
      </w:r>
    </w:p>
    <w:p w14:paraId="3532AE9D" w14:textId="33CE1B38" w:rsidR="00F75007" w:rsidRPr="00D82C27" w:rsidRDefault="00F75007" w:rsidP="00CA68E3">
      <w:pPr>
        <w:pStyle w:val="Proposal"/>
      </w:pPr>
      <w:bookmarkStart w:id="84" w:name="_Toc174129777"/>
      <w:r w:rsidRPr="00D82C27">
        <w:t>Support the following additional parameters for the additional RACH configuration (in addition to power control that is discussed elsewhere):</w:t>
      </w:r>
      <w:bookmarkEnd w:id="84"/>
    </w:p>
    <w:p w14:paraId="7EC3A2F2" w14:textId="77777777" w:rsidR="0025276F" w:rsidRDefault="00484812" w:rsidP="0025276F">
      <w:pPr>
        <w:pStyle w:val="Proposal"/>
        <w:numPr>
          <w:ilvl w:val="1"/>
          <w:numId w:val="3"/>
        </w:numPr>
        <w:tabs>
          <w:tab w:val="clear" w:pos="10512"/>
          <w:tab w:val="num" w:pos="1440"/>
        </w:tabs>
        <w:ind w:left="1440"/>
      </w:pPr>
      <w:bookmarkStart w:id="85" w:name="_Toc174129778"/>
      <w:proofErr w:type="spellStart"/>
      <w:r w:rsidRPr="00E80243">
        <w:lastRenderedPageBreak/>
        <w:t>prach-ConfigurationIndex</w:t>
      </w:r>
      <w:bookmarkEnd w:id="85"/>
      <w:proofErr w:type="spellEnd"/>
    </w:p>
    <w:p w14:paraId="5B5F49A7" w14:textId="1E8B845A" w:rsidR="00F75007" w:rsidRDefault="00E6384E" w:rsidP="00085C06">
      <w:pPr>
        <w:pStyle w:val="Proposal"/>
        <w:numPr>
          <w:ilvl w:val="1"/>
          <w:numId w:val="3"/>
        </w:numPr>
        <w:tabs>
          <w:tab w:val="clear" w:pos="10512"/>
          <w:tab w:val="num" w:pos="1440"/>
        </w:tabs>
        <w:ind w:left="1440"/>
      </w:pPr>
      <w:bookmarkStart w:id="86" w:name="_Toc174129779"/>
      <w:r w:rsidRPr="00085C06">
        <w:t>msg1-SubcarrierSpacing</w:t>
      </w:r>
      <w:bookmarkEnd w:id="86"/>
    </w:p>
    <w:p w14:paraId="76F80353" w14:textId="68FC10ED" w:rsidR="00FC2F1B" w:rsidRPr="00085C06" w:rsidRDefault="00FC2F1B" w:rsidP="00085C06">
      <w:pPr>
        <w:pStyle w:val="Proposal"/>
        <w:numPr>
          <w:ilvl w:val="1"/>
          <w:numId w:val="3"/>
        </w:numPr>
        <w:tabs>
          <w:tab w:val="clear" w:pos="10512"/>
          <w:tab w:val="num" w:pos="1440"/>
        </w:tabs>
        <w:ind w:left="1440"/>
      </w:pPr>
      <w:bookmarkStart w:id="87" w:name="_Toc174129780"/>
      <w:r w:rsidRPr="00693AF8">
        <w:t>msg1-FrequencyStart</w:t>
      </w:r>
      <w:bookmarkEnd w:id="87"/>
    </w:p>
    <w:p w14:paraId="2A68FEB3" w14:textId="53D9BFA0" w:rsidR="00F329F4" w:rsidRPr="00E80243" w:rsidRDefault="00F75007" w:rsidP="00085C06">
      <w:pPr>
        <w:pStyle w:val="Proposal"/>
        <w:numPr>
          <w:ilvl w:val="1"/>
          <w:numId w:val="3"/>
        </w:numPr>
        <w:tabs>
          <w:tab w:val="clear" w:pos="10512"/>
          <w:tab w:val="num" w:pos="1440"/>
        </w:tabs>
        <w:ind w:left="1440"/>
      </w:pPr>
      <w:bookmarkStart w:id="88" w:name="_Toc174129781"/>
      <w:r w:rsidRPr="00E80243">
        <w:t>msg1-FDM</w:t>
      </w:r>
      <w:bookmarkEnd w:id="88"/>
    </w:p>
    <w:p w14:paraId="7219E041" w14:textId="5FCEB0F6" w:rsidR="00F329F4" w:rsidRPr="00E80243" w:rsidRDefault="00F75007" w:rsidP="00085C06">
      <w:pPr>
        <w:pStyle w:val="Proposal"/>
        <w:numPr>
          <w:ilvl w:val="1"/>
          <w:numId w:val="3"/>
        </w:numPr>
        <w:tabs>
          <w:tab w:val="clear" w:pos="10512"/>
          <w:tab w:val="num" w:pos="1440"/>
        </w:tabs>
        <w:ind w:left="1440"/>
      </w:pPr>
      <w:bookmarkStart w:id="89" w:name="_Toc174109522"/>
      <w:bookmarkStart w:id="90" w:name="_Toc174129497"/>
      <w:bookmarkStart w:id="91" w:name="_Toc174129624"/>
      <w:bookmarkStart w:id="92" w:name="_Toc174109523"/>
      <w:bookmarkStart w:id="93" w:name="_Toc174129498"/>
      <w:bookmarkStart w:id="94" w:name="_Toc174129625"/>
      <w:bookmarkStart w:id="95" w:name="_Toc174109524"/>
      <w:bookmarkStart w:id="96" w:name="_Toc174129499"/>
      <w:bookmarkStart w:id="97" w:name="_Toc174129626"/>
      <w:bookmarkStart w:id="98" w:name="_Toc174129782"/>
      <w:bookmarkEnd w:id="89"/>
      <w:bookmarkEnd w:id="90"/>
      <w:bookmarkEnd w:id="91"/>
      <w:bookmarkEnd w:id="92"/>
      <w:bookmarkEnd w:id="93"/>
      <w:bookmarkEnd w:id="94"/>
      <w:bookmarkEnd w:id="95"/>
      <w:bookmarkEnd w:id="96"/>
      <w:bookmarkEnd w:id="97"/>
      <w:proofErr w:type="spellStart"/>
      <w:r w:rsidRPr="00085C06">
        <w:t>ssb-perRACH-OccasionAndCB-PreamblesPerSSB</w:t>
      </w:r>
      <w:bookmarkEnd w:id="98"/>
      <w:proofErr w:type="spellEnd"/>
    </w:p>
    <w:p w14:paraId="12B24DF9" w14:textId="1E499AB1" w:rsidR="00F329F4" w:rsidRPr="00E80243" w:rsidRDefault="00F75007" w:rsidP="00085C06">
      <w:pPr>
        <w:pStyle w:val="Proposal"/>
        <w:numPr>
          <w:ilvl w:val="1"/>
          <w:numId w:val="3"/>
        </w:numPr>
        <w:tabs>
          <w:tab w:val="clear" w:pos="10512"/>
          <w:tab w:val="num" w:pos="1440"/>
        </w:tabs>
        <w:ind w:left="1440"/>
      </w:pPr>
      <w:bookmarkStart w:id="99" w:name="_Toc174109526"/>
      <w:bookmarkStart w:id="100" w:name="_Toc174129501"/>
      <w:bookmarkStart w:id="101" w:name="_Toc174129628"/>
      <w:bookmarkStart w:id="102" w:name="_Toc174129783"/>
      <w:bookmarkEnd w:id="99"/>
      <w:bookmarkEnd w:id="100"/>
      <w:bookmarkEnd w:id="101"/>
      <w:proofErr w:type="spellStart"/>
      <w:r w:rsidRPr="00085C06">
        <w:t>totalNumberOfRA</w:t>
      </w:r>
      <w:proofErr w:type="spellEnd"/>
      <w:r w:rsidRPr="00085C06">
        <w:t>-Preambles</w:t>
      </w:r>
      <w:bookmarkEnd w:id="102"/>
    </w:p>
    <w:p w14:paraId="15D3B8C6" w14:textId="53FC9504" w:rsidR="00F329F4" w:rsidRPr="00E80243" w:rsidRDefault="00484812" w:rsidP="00085C06">
      <w:pPr>
        <w:pStyle w:val="Proposal"/>
        <w:numPr>
          <w:ilvl w:val="1"/>
          <w:numId w:val="3"/>
        </w:numPr>
        <w:tabs>
          <w:tab w:val="clear" w:pos="10512"/>
          <w:tab w:val="num" w:pos="1440"/>
        </w:tabs>
        <w:ind w:left="1440"/>
      </w:pPr>
      <w:bookmarkStart w:id="103" w:name="_Toc174129784"/>
      <w:proofErr w:type="spellStart"/>
      <w:r w:rsidRPr="00F329F4">
        <w:t>prach-RootSequenceIndex</w:t>
      </w:r>
      <w:bookmarkEnd w:id="103"/>
      <w:proofErr w:type="spellEnd"/>
    </w:p>
    <w:p w14:paraId="2838DC0D" w14:textId="0D1D01B7" w:rsidR="007D3B7E" w:rsidRDefault="007D3B7E" w:rsidP="00F329F4">
      <w:pPr>
        <w:pStyle w:val="Heading2"/>
      </w:pPr>
      <w:r>
        <w:t>Indication of support for SBFD random access</w:t>
      </w:r>
    </w:p>
    <w:p w14:paraId="285EB74A" w14:textId="553BD658" w:rsidR="007D3B7E" w:rsidRPr="00C160FB" w:rsidRDefault="007D3B7E" w:rsidP="00116C05">
      <w:r>
        <w:t>Even though the network supports SBFD, it may not want to enable SBFD RA. One reason for that may be that SBFD RA may result in additional overhead or maybe the UL subbands are only needed in RRC CONNECTED mode for less mobility sensitive devices. Particularly</w:t>
      </w:r>
      <w:r w:rsidR="00F53832">
        <w:t>,</w:t>
      </w:r>
      <w:r>
        <w:t xml:space="preserve"> </w:t>
      </w:r>
      <w:r w:rsidR="00B50747">
        <w:t xml:space="preserve">because </w:t>
      </w:r>
      <w:r>
        <w:t>IDLE mode RA is supported, the UE needs to know already from reading SIB1 whether SBFD RA is supported, to be able to benefit from it. For the double PRACH configuration, the inclusion of the second configuration in RRC would implicitly also indicate a support for SBFD RA, however for the single RACH configuration case, there would not necessarily be such an indication, not even for RRC_CONNECTED. For that reason, we propose to explicitly indicate whether SBFD RA is supported for the single PRACH configuration.</w:t>
      </w:r>
    </w:p>
    <w:p w14:paraId="54AA602F" w14:textId="77777777" w:rsidR="007D3B7E" w:rsidRDefault="007D3B7E" w:rsidP="00CA68E3">
      <w:pPr>
        <w:pStyle w:val="Observation"/>
      </w:pPr>
      <w:bookmarkStart w:id="104" w:name="_Toc163239634"/>
      <w:bookmarkStart w:id="105" w:name="_Toc166256768"/>
      <w:bookmarkStart w:id="106" w:name="_Toc174129760"/>
      <w:r>
        <w:t>Even if the network supports SBFD, the additional overhead associated with the introduction of more ROs should not be mandated.</w:t>
      </w:r>
      <w:bookmarkEnd w:id="104"/>
      <w:bookmarkEnd w:id="105"/>
      <w:bookmarkEnd w:id="106"/>
    </w:p>
    <w:p w14:paraId="2738BDCC" w14:textId="77777777" w:rsidR="007D3B7E" w:rsidRDefault="007D3B7E" w:rsidP="00CA68E3">
      <w:pPr>
        <w:pStyle w:val="Proposal"/>
      </w:pPr>
      <w:bookmarkStart w:id="107" w:name="_Toc163239648"/>
      <w:bookmarkStart w:id="108" w:name="_Toc166256786"/>
      <w:bookmarkStart w:id="109" w:name="_Toc174129785"/>
      <w:r>
        <w:t>Network enabling of SBFD RACH is indicated in RRC for the single RACH configuration</w:t>
      </w:r>
      <w:bookmarkEnd w:id="107"/>
      <w:r>
        <w:t>.</w:t>
      </w:r>
      <w:bookmarkEnd w:id="108"/>
      <w:bookmarkEnd w:id="109"/>
    </w:p>
    <w:p w14:paraId="7A398511" w14:textId="739ACF99" w:rsidR="007D3B7E" w:rsidRDefault="007D3B7E" w:rsidP="007D3B7E">
      <w:pPr>
        <w:pStyle w:val="Heading2"/>
      </w:pPr>
      <w:bookmarkStart w:id="110" w:name="_Ref174108161"/>
      <w:r>
        <w:t xml:space="preserve">Network identification of </w:t>
      </w:r>
      <w:r w:rsidR="006A1FB3">
        <w:t xml:space="preserve">UE’s </w:t>
      </w:r>
      <w:r>
        <w:t xml:space="preserve">SBFD </w:t>
      </w:r>
      <w:r w:rsidR="006A1FB3">
        <w:t>awareness</w:t>
      </w:r>
      <w:bookmarkEnd w:id="110"/>
    </w:p>
    <w:p w14:paraId="0BB2CDB9" w14:textId="151B146D" w:rsidR="007D3B7E" w:rsidRDefault="007D3B7E" w:rsidP="00116C05">
      <w:r>
        <w:t xml:space="preserve">One issue associated with RRC_IDLE operation is </w:t>
      </w:r>
      <w:r w:rsidRPr="008F3104">
        <w:t xml:space="preserve">whether and how the </w:t>
      </w:r>
      <w:r>
        <w:t xml:space="preserve">network identifies the </w:t>
      </w:r>
      <w:r w:rsidRPr="008F3104">
        <w:t>UE as a</w:t>
      </w:r>
      <w:r>
        <w:t>n</w:t>
      </w:r>
      <w:r w:rsidRPr="008F3104">
        <w:t xml:space="preserve"> SBFD capable UE.</w:t>
      </w:r>
      <w:r>
        <w:t xml:space="preserve"> </w:t>
      </w:r>
      <w:r w:rsidR="005A100F">
        <w:t>T</w:t>
      </w:r>
      <w:r>
        <w:t>he need for identifying an SBFD capable UE prior to capability signaling is only relevant to leverage Msg2,3,4 by using SBFD resources. As presented earlier in this contribution, the need for that is not apparent to us and should first be agreed.</w:t>
      </w:r>
    </w:p>
    <w:p w14:paraId="658ADF16" w14:textId="4AEB462E" w:rsidR="007D3B7E" w:rsidRDefault="007D3B7E" w:rsidP="00CA68E3">
      <w:pPr>
        <w:pStyle w:val="Observation"/>
      </w:pPr>
      <w:bookmarkStart w:id="111" w:name="_Toc163239642"/>
      <w:bookmarkStart w:id="112" w:name="_Toc166256773"/>
      <w:bookmarkStart w:id="113" w:name="_Toc174129761"/>
      <w:r>
        <w:t>Identifying SBFD capable</w:t>
      </w:r>
      <w:r w:rsidRPr="00887256">
        <w:t xml:space="preserve"> UEs before</w:t>
      </w:r>
      <w:r>
        <w:t xml:space="preserve"> capability signaling </w:t>
      </w:r>
      <w:r w:rsidR="00C93F10">
        <w:t>may be</w:t>
      </w:r>
      <w:r>
        <w:t xml:space="preserve"> </w:t>
      </w:r>
      <w:r w:rsidR="008D670E">
        <w:t>useful</w:t>
      </w:r>
      <w:r>
        <w:t xml:space="preserve"> for leveraging Msg2,3,4</w:t>
      </w:r>
      <w:r w:rsidR="008D670E">
        <w:t xml:space="preserve"> a</w:t>
      </w:r>
      <w:r w:rsidR="0093426C">
        <w:t>s well as</w:t>
      </w:r>
      <w:r w:rsidR="008D670E">
        <w:t xml:space="preserve"> UE capability signaling</w:t>
      </w:r>
      <w:r>
        <w:t xml:space="preserve"> by use of SBFD resources.</w:t>
      </w:r>
      <w:bookmarkEnd w:id="111"/>
      <w:bookmarkEnd w:id="112"/>
      <w:bookmarkEnd w:id="113"/>
    </w:p>
    <w:p w14:paraId="1B9D47A1" w14:textId="38444CB3" w:rsidR="007D3B7E" w:rsidRDefault="007D3B7E" w:rsidP="00116C05">
      <w:r>
        <w:t>Still, assuming that early identification is anyway beneficial, one proposal that has been presented is to use preamble partitioning to differentiate legacy UEs from SBFD capable UEs. In our view, this is an undesirable solution for the simple reason that preamble partitioning is already overutilized and RACH risks decreased performance should additional use be introduced.</w:t>
      </w:r>
    </w:p>
    <w:p w14:paraId="7BD1AFE5" w14:textId="2F3F5289" w:rsidR="007D3B7E" w:rsidRDefault="007D3B7E" w:rsidP="00CA68E3">
      <w:pPr>
        <w:pStyle w:val="Observation"/>
      </w:pPr>
      <w:bookmarkStart w:id="114" w:name="_Toc163239643"/>
      <w:bookmarkStart w:id="115" w:name="_Toc166256774"/>
      <w:bookmarkStart w:id="116" w:name="_Toc174129762"/>
      <w:r>
        <w:t>PRACH preamble partitioning is already overutilized and should not be used for SBFD capability identification.</w:t>
      </w:r>
      <w:bookmarkEnd w:id="114"/>
      <w:bookmarkEnd w:id="115"/>
      <w:bookmarkEnd w:id="116"/>
    </w:p>
    <w:p w14:paraId="3655DE2D" w14:textId="731A3BEE" w:rsidR="007D3B7E" w:rsidRDefault="007D3B7E" w:rsidP="00116C05">
      <w:r>
        <w:t xml:space="preserve">Depending on network configuration and deployment, forcing SBFD capable UEs to exclusively use SBFD ROs could be a feasible solution. One objection to that, however, </w:t>
      </w:r>
      <w:r w:rsidR="00F53832">
        <w:t>is</w:t>
      </w:r>
      <w:r>
        <w:t xml:space="preserve"> that this may not be suitable for all configurations or deployments.</w:t>
      </w:r>
    </w:p>
    <w:p w14:paraId="1739331A" w14:textId="7D508443" w:rsidR="007D3B7E" w:rsidRDefault="007D3B7E" w:rsidP="00116C05">
      <w:r>
        <w:t>Another alternative is that UEs adhere to either legacy RACH or SBFD RACH, depending on whether a SBFD RO or legacy RO is selected for the preamble. That is, a SBFD capable UE transmitting the preamble in a legacy RO will assume legacy operation also for Msg,2,3,4</w:t>
      </w:r>
      <w:r w:rsidR="00F53832">
        <w:t xml:space="preserve"> until the capability signaling is finished</w:t>
      </w:r>
      <w:r>
        <w:t>. If the network has a need to steer SBFD capable UEs to only use SBFD ROs, this can be solved through configuration of the SBFD PRACH, forcing the UE to a specific behavior.</w:t>
      </w:r>
    </w:p>
    <w:p w14:paraId="086A1C41" w14:textId="77777777" w:rsidR="007D3B7E" w:rsidRPr="001848A7" w:rsidRDefault="007D3B7E" w:rsidP="00CA68E3">
      <w:pPr>
        <w:pStyle w:val="Proposal"/>
      </w:pPr>
      <w:bookmarkStart w:id="117" w:name="_Toc163239670"/>
      <w:bookmarkStart w:id="118" w:name="_Toc166256794"/>
      <w:bookmarkStart w:id="119" w:name="_Toc174129786"/>
      <w:r w:rsidRPr="001848A7">
        <w:t xml:space="preserve">The selected PRACH RO (SBFD or legacy) determines </w:t>
      </w:r>
      <w:r>
        <w:t xml:space="preserve">whether the UE follows the legacy or an SBFD-specific </w:t>
      </w:r>
      <w:r w:rsidRPr="001848A7">
        <w:t>RACH procedure</w:t>
      </w:r>
      <w:r>
        <w:t xml:space="preserve"> for</w:t>
      </w:r>
      <w:r w:rsidRPr="001848A7">
        <w:t xml:space="preserve"> Msg2, 3</w:t>
      </w:r>
      <w:r>
        <w:t xml:space="preserve">, </w:t>
      </w:r>
      <w:r w:rsidRPr="001848A7">
        <w:t>4.</w:t>
      </w:r>
      <w:bookmarkEnd w:id="117"/>
      <w:bookmarkEnd w:id="118"/>
      <w:bookmarkEnd w:id="119"/>
    </w:p>
    <w:p w14:paraId="6E430AAD" w14:textId="77777777" w:rsidR="007B452B" w:rsidRDefault="007D3B7E" w:rsidP="007B452B">
      <w:pPr>
        <w:pStyle w:val="Heading2"/>
      </w:pPr>
      <w:r>
        <w:lastRenderedPageBreak/>
        <w:t>Msg2,3,4</w:t>
      </w:r>
    </w:p>
    <w:p w14:paraId="6A33AE6B" w14:textId="17E4E2B8" w:rsidR="008B7FB6" w:rsidRDefault="00C93F10" w:rsidP="00116C05">
      <w:pPr>
        <w:rPr>
          <w:lang w:val="en-GB" w:eastAsia="ja-JP"/>
        </w:rPr>
      </w:pPr>
      <w:r>
        <w:rPr>
          <w:lang w:val="en-GB" w:eastAsia="ja-JP"/>
        </w:rPr>
        <w:t>As discussed in Sec.  </w:t>
      </w:r>
      <w:r>
        <w:rPr>
          <w:lang w:val="en-GB" w:eastAsia="ja-JP"/>
        </w:rPr>
        <w:fldChar w:fldCharType="begin"/>
      </w:r>
      <w:r>
        <w:rPr>
          <w:lang w:val="en-GB" w:eastAsia="ja-JP"/>
        </w:rPr>
        <w:instrText xml:space="preserve"> REF _Ref174108161 \r \h </w:instrText>
      </w:r>
      <w:r>
        <w:rPr>
          <w:lang w:val="en-GB" w:eastAsia="ja-JP"/>
        </w:rPr>
      </w:r>
      <w:r>
        <w:rPr>
          <w:lang w:val="en-GB" w:eastAsia="ja-JP"/>
        </w:rPr>
        <w:fldChar w:fldCharType="separate"/>
      </w:r>
      <w:r w:rsidR="007B45E5">
        <w:rPr>
          <w:lang w:val="en-GB" w:eastAsia="ja-JP"/>
        </w:rPr>
        <w:t>2.9</w:t>
      </w:r>
      <w:r>
        <w:rPr>
          <w:lang w:val="en-GB" w:eastAsia="ja-JP"/>
        </w:rPr>
        <w:fldChar w:fldCharType="end"/>
      </w:r>
      <w:r>
        <w:rPr>
          <w:lang w:val="en-GB" w:eastAsia="ja-JP"/>
        </w:rPr>
        <w:t>, i</w:t>
      </w:r>
      <w:r w:rsidR="008B7FB6" w:rsidRPr="00F53D82">
        <w:rPr>
          <w:lang w:val="en-GB" w:eastAsia="ja-JP"/>
        </w:rPr>
        <w:t>t</w:t>
      </w:r>
      <w:r w:rsidR="008B7FB6">
        <w:rPr>
          <w:lang w:val="en-GB" w:eastAsia="ja-JP"/>
        </w:rPr>
        <w:t xml:space="preserve"> </w:t>
      </w:r>
      <w:r>
        <w:rPr>
          <w:lang w:val="en-GB" w:eastAsia="ja-JP"/>
        </w:rPr>
        <w:t>c</w:t>
      </w:r>
      <w:r w:rsidR="008B7FB6">
        <w:rPr>
          <w:lang w:val="en-GB" w:eastAsia="ja-JP"/>
        </w:rPr>
        <w:t xml:space="preserve">ould be advantageous for the network to identify an SBFD-aware UE </w:t>
      </w:r>
      <w:r w:rsidR="00F53D82">
        <w:rPr>
          <w:lang w:val="en-GB" w:eastAsia="ja-JP"/>
        </w:rPr>
        <w:t xml:space="preserve">early on to be able to leverage the </w:t>
      </w:r>
      <w:r w:rsidR="008B7FB6">
        <w:rPr>
          <w:lang w:val="en-GB" w:eastAsia="ja-JP"/>
        </w:rPr>
        <w:t>more efficient resource allocation</w:t>
      </w:r>
      <w:r w:rsidR="00F53D82">
        <w:rPr>
          <w:lang w:val="en-GB" w:eastAsia="ja-JP"/>
        </w:rPr>
        <w:t xml:space="preserve"> enabled by SBFD</w:t>
      </w:r>
      <w:r w:rsidR="008B7FB6">
        <w:rPr>
          <w:lang w:val="en-GB" w:eastAsia="ja-JP"/>
        </w:rPr>
        <w:t xml:space="preserve">. Without any specific provisions, that identification will take place during the UE’s capability </w:t>
      </w:r>
      <w:proofErr w:type="spellStart"/>
      <w:r w:rsidR="008B7FB6">
        <w:rPr>
          <w:lang w:val="en-GB" w:eastAsia="ja-JP"/>
        </w:rPr>
        <w:t>signaling</w:t>
      </w:r>
      <w:proofErr w:type="spellEnd"/>
      <w:r w:rsidR="008B7FB6">
        <w:rPr>
          <w:lang w:val="en-GB" w:eastAsia="ja-JP"/>
        </w:rPr>
        <w:t>. That is, before all the UE’s capabilities have been successfully provided to the network, the UE will need to operate as a legacy UE.</w:t>
      </w:r>
    </w:p>
    <w:p w14:paraId="7E4546BE" w14:textId="7028BAB7" w:rsidR="004E4A25" w:rsidRDefault="004E4A25" w:rsidP="00116C05">
      <w:pPr>
        <w:rPr>
          <w:lang w:val="en-GB" w:eastAsia="ja-JP"/>
        </w:rPr>
      </w:pPr>
      <w:r>
        <w:rPr>
          <w:lang w:val="en-GB" w:eastAsia="ja-JP"/>
        </w:rPr>
        <w:t xml:space="preserve">From </w:t>
      </w:r>
      <w:r w:rsidR="008B7FB6">
        <w:rPr>
          <w:lang w:val="en-GB" w:eastAsia="ja-JP"/>
        </w:rPr>
        <w:t xml:space="preserve">discussing in </w:t>
      </w:r>
      <w:r>
        <w:rPr>
          <w:lang w:val="en-GB" w:eastAsia="ja-JP"/>
        </w:rPr>
        <w:t xml:space="preserve">previous meetings in RAN1, </w:t>
      </w:r>
      <w:r w:rsidR="008B7FB6">
        <w:rPr>
          <w:lang w:val="en-GB" w:eastAsia="ja-JP"/>
        </w:rPr>
        <w:t>there</w:t>
      </w:r>
      <w:r>
        <w:rPr>
          <w:lang w:val="en-GB" w:eastAsia="ja-JP"/>
        </w:rPr>
        <w:t xml:space="preserve"> is not a distinct way of using SBFD ROs in relation to legacy ROs. Hence, the SBFD-aware UE cannot be identified by the network simply from the RO it is using for RA</w:t>
      </w:r>
      <w:r w:rsidR="008B7FB6">
        <w:rPr>
          <w:lang w:val="en-GB" w:eastAsia="ja-JP"/>
        </w:rPr>
        <w:t xml:space="preserve">, since for latency or </w:t>
      </w:r>
      <w:r w:rsidR="00422E12">
        <w:rPr>
          <w:lang w:val="en-GB" w:eastAsia="ja-JP"/>
        </w:rPr>
        <w:t>short-range</w:t>
      </w:r>
      <w:r w:rsidR="008B7FB6">
        <w:rPr>
          <w:lang w:val="en-GB" w:eastAsia="ja-JP"/>
        </w:rPr>
        <w:t xml:space="preserve"> reasons, a legacy RO may be preferable to the SBFD-aware UE</w:t>
      </w:r>
      <w:r>
        <w:rPr>
          <w:lang w:val="en-GB" w:eastAsia="ja-JP"/>
        </w:rPr>
        <w:t xml:space="preserve">. Additionally, partitioning preambles for differentiating between legacy and SBFD-aware UEs is undesirable </w:t>
      </w:r>
      <w:r w:rsidR="00422E12">
        <w:rPr>
          <w:lang w:val="en-GB" w:eastAsia="ja-JP"/>
        </w:rPr>
        <w:t>due to</w:t>
      </w:r>
      <w:r>
        <w:rPr>
          <w:lang w:val="en-GB" w:eastAsia="ja-JP"/>
        </w:rPr>
        <w:t xml:space="preserve"> the limited number of preambles </w:t>
      </w:r>
      <w:r w:rsidR="00477EA3">
        <w:rPr>
          <w:lang w:val="en-GB" w:eastAsia="ja-JP"/>
        </w:rPr>
        <w:t>for some RACH configurations</w:t>
      </w:r>
      <w:r>
        <w:rPr>
          <w:lang w:val="en-GB" w:eastAsia="ja-JP"/>
        </w:rPr>
        <w:t xml:space="preserve">. Hence, </w:t>
      </w:r>
      <w:r w:rsidR="00422E12">
        <w:rPr>
          <w:lang w:val="en-GB" w:eastAsia="ja-JP"/>
        </w:rPr>
        <w:t xml:space="preserve">even though some SBFD-aware UEs </w:t>
      </w:r>
      <w:r w:rsidR="00F53832">
        <w:rPr>
          <w:lang w:val="en-GB" w:eastAsia="ja-JP"/>
        </w:rPr>
        <w:t>ma</w:t>
      </w:r>
      <w:r w:rsidR="00422E12">
        <w:rPr>
          <w:lang w:val="en-GB" w:eastAsia="ja-JP"/>
        </w:rPr>
        <w:t>y be identified from using an SBFD</w:t>
      </w:r>
      <w:r w:rsidR="00C93F10">
        <w:rPr>
          <w:lang w:val="en-GB" w:eastAsia="ja-JP"/>
        </w:rPr>
        <w:t xml:space="preserve"> </w:t>
      </w:r>
      <w:r w:rsidR="00422E12">
        <w:rPr>
          <w:lang w:val="en-GB" w:eastAsia="ja-JP"/>
        </w:rPr>
        <w:t xml:space="preserve">RO, </w:t>
      </w:r>
      <w:r>
        <w:rPr>
          <w:lang w:val="en-GB" w:eastAsia="ja-JP"/>
        </w:rPr>
        <w:t xml:space="preserve">it is </w:t>
      </w:r>
      <w:r w:rsidR="00422E12">
        <w:rPr>
          <w:lang w:val="en-GB" w:eastAsia="ja-JP"/>
        </w:rPr>
        <w:t>impossible</w:t>
      </w:r>
      <w:r>
        <w:rPr>
          <w:lang w:val="en-GB" w:eastAsia="ja-JP"/>
        </w:rPr>
        <w:t xml:space="preserve"> to </w:t>
      </w:r>
      <w:r w:rsidR="00422E12">
        <w:rPr>
          <w:lang w:val="en-GB" w:eastAsia="ja-JP"/>
        </w:rPr>
        <w:t xml:space="preserve">accurately </w:t>
      </w:r>
      <w:r>
        <w:rPr>
          <w:lang w:val="en-GB" w:eastAsia="ja-JP"/>
        </w:rPr>
        <w:t xml:space="preserve">identify </w:t>
      </w:r>
      <w:r w:rsidRPr="00085C06">
        <w:rPr>
          <w:i/>
          <w:iCs/>
          <w:lang w:val="en-GB" w:eastAsia="ja-JP"/>
        </w:rPr>
        <w:t>a</w:t>
      </w:r>
      <w:r w:rsidR="00422E12" w:rsidRPr="00085C06">
        <w:rPr>
          <w:i/>
          <w:iCs/>
          <w:lang w:val="en-GB" w:eastAsia="ja-JP"/>
        </w:rPr>
        <w:t>ll</w:t>
      </w:r>
      <w:r>
        <w:rPr>
          <w:lang w:val="en-GB" w:eastAsia="ja-JP"/>
        </w:rPr>
        <w:t xml:space="preserve"> SBFD-aware UE already in Msg1.</w:t>
      </w:r>
    </w:p>
    <w:p w14:paraId="54393F8D" w14:textId="0C3336E2" w:rsidR="008B7FB6" w:rsidRDefault="003624A0" w:rsidP="00116C05">
      <w:pPr>
        <w:rPr>
          <w:lang w:val="en-GB" w:eastAsia="ja-JP"/>
        </w:rPr>
      </w:pPr>
      <w:r>
        <w:rPr>
          <w:lang w:val="en-GB" w:eastAsia="ja-JP"/>
        </w:rPr>
        <w:t>As an alternative to identifying SBFD-aware UEs already in Msg1,</w:t>
      </w:r>
      <w:r w:rsidR="008B7FB6">
        <w:rPr>
          <w:lang w:val="en-GB" w:eastAsia="ja-JP"/>
        </w:rPr>
        <w:t xml:space="preserve"> </w:t>
      </w:r>
      <w:r w:rsidR="00477EA3">
        <w:rPr>
          <w:lang w:val="en-GB" w:eastAsia="ja-JP"/>
        </w:rPr>
        <w:t xml:space="preserve">capability </w:t>
      </w:r>
      <w:r w:rsidR="008B7FB6">
        <w:rPr>
          <w:lang w:val="en-GB" w:eastAsia="ja-JP"/>
        </w:rPr>
        <w:t>information about</w:t>
      </w:r>
      <w:r w:rsidR="00477EA3">
        <w:rPr>
          <w:lang w:val="en-GB" w:eastAsia="ja-JP"/>
        </w:rPr>
        <w:t xml:space="preserve"> the SBFD-aware UE </w:t>
      </w:r>
      <w:r>
        <w:rPr>
          <w:lang w:val="en-GB" w:eastAsia="ja-JP"/>
        </w:rPr>
        <w:t xml:space="preserve">could be included </w:t>
      </w:r>
      <w:r w:rsidR="00477EA3">
        <w:rPr>
          <w:lang w:val="en-GB" w:eastAsia="ja-JP"/>
        </w:rPr>
        <w:t xml:space="preserve">in Msg3. This would allow the network to identify an SBFD-aware UE correctly and reliably without exception. </w:t>
      </w:r>
      <w:r>
        <w:rPr>
          <w:lang w:val="en-GB" w:eastAsia="ja-JP"/>
        </w:rPr>
        <w:t xml:space="preserve">However, such a </w:t>
      </w:r>
      <w:r w:rsidR="006A1FB3">
        <w:rPr>
          <w:lang w:val="en-GB" w:eastAsia="ja-JP"/>
        </w:rPr>
        <w:t xml:space="preserve">decision is </w:t>
      </w:r>
      <w:r>
        <w:rPr>
          <w:lang w:val="en-GB" w:eastAsia="ja-JP"/>
        </w:rPr>
        <w:t>the responsibility for RAN2</w:t>
      </w:r>
      <w:r w:rsidR="00477EA3">
        <w:rPr>
          <w:lang w:val="en-GB" w:eastAsia="ja-JP"/>
        </w:rPr>
        <w:t>.</w:t>
      </w:r>
    </w:p>
    <w:p w14:paraId="3585B481" w14:textId="03A2446B" w:rsidR="00477EA3" w:rsidRPr="00116C05" w:rsidRDefault="009C2E96" w:rsidP="00085C06">
      <w:pPr>
        <w:pStyle w:val="Proposal"/>
        <w:rPr>
          <w:lang w:val="en-GB"/>
        </w:rPr>
      </w:pPr>
      <w:bookmarkStart w:id="120" w:name="_Toc174129787"/>
      <w:r>
        <w:rPr>
          <w:lang w:val="en-GB"/>
        </w:rPr>
        <w:t xml:space="preserve">RAN1 to leave to </w:t>
      </w:r>
      <w:r w:rsidR="003624A0">
        <w:rPr>
          <w:lang w:val="en-GB"/>
        </w:rPr>
        <w:t>RAN2 to decide if a new MAC CE should be introduced</w:t>
      </w:r>
      <w:r w:rsidR="00477EA3">
        <w:rPr>
          <w:lang w:val="en-GB"/>
        </w:rPr>
        <w:t xml:space="preserve"> for identification of SBFD-aware UEs in Msg3.</w:t>
      </w:r>
      <w:bookmarkEnd w:id="120"/>
    </w:p>
    <w:p w14:paraId="0B285031" w14:textId="75663D1A" w:rsidR="007B452B" w:rsidRDefault="007B452B" w:rsidP="007B452B">
      <w:pPr>
        <w:pStyle w:val="Heading2"/>
      </w:pPr>
      <w:r>
        <w:t>Triggering events for SBFD RA</w:t>
      </w:r>
    </w:p>
    <w:p w14:paraId="24992B8A" w14:textId="6ED9C336" w:rsidR="007B452B" w:rsidRPr="00C21FA7" w:rsidRDefault="00C07E46" w:rsidP="00116C05">
      <w:pPr>
        <w:rPr>
          <w:lang w:val="en-GB" w:eastAsia="ja-JP"/>
        </w:rPr>
      </w:pPr>
      <w:r>
        <w:rPr>
          <w:lang w:val="en-GB" w:eastAsia="ja-JP"/>
        </w:rPr>
        <w:t>RAN1 has briefly discussed which triggering events for RA that should be supported for SBFD RA. In our opinion, this matter does not belong in RAN1 but instead in RAN2. Hence, this matter does not need to be discussed in RAN1 any further.</w:t>
      </w:r>
    </w:p>
    <w:p w14:paraId="3879E8F8" w14:textId="6434EE0D" w:rsidR="00C473A5" w:rsidRDefault="009C2E96" w:rsidP="00085C06">
      <w:pPr>
        <w:pStyle w:val="Observation"/>
        <w:rPr>
          <w:bCs w:val="0"/>
        </w:rPr>
        <w:sectPr w:rsidR="00C473A5" w:rsidSect="00AC22FB">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bookmarkStart w:id="121" w:name="_Toc174129763"/>
      <w:r>
        <w:rPr>
          <w:lang w:val="en-GB"/>
        </w:rPr>
        <w:t xml:space="preserve">RAN1 to leave to </w:t>
      </w:r>
      <w:r w:rsidR="00735A7F">
        <w:rPr>
          <w:lang w:val="en-GB"/>
        </w:rPr>
        <w:t xml:space="preserve">RAN2 </w:t>
      </w:r>
      <w:r>
        <w:rPr>
          <w:lang w:val="en-GB"/>
        </w:rPr>
        <w:t xml:space="preserve">to </w:t>
      </w:r>
      <w:r w:rsidR="00735A7F">
        <w:rPr>
          <w:lang w:val="en-GB"/>
        </w:rPr>
        <w:t>decid</w:t>
      </w:r>
      <w:r>
        <w:rPr>
          <w:lang w:val="en-GB"/>
        </w:rPr>
        <w:t>e</w:t>
      </w:r>
      <w:r w:rsidR="00735A7F">
        <w:rPr>
          <w:lang w:val="en-GB"/>
        </w:rPr>
        <w:t xml:space="preserve"> on triggering events for SBFD random access.</w:t>
      </w:r>
      <w:bookmarkEnd w:id="121"/>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6C1C8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FD59D5" w14:textId="2ACE1DA6" w:rsidR="007B45E5" w:rsidRDefault="006F6582"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Cs/>
        </w:rPr>
        <w:fldChar w:fldCharType="begin"/>
      </w:r>
      <w:r>
        <w:rPr>
          <w:bCs/>
        </w:rPr>
        <w:instrText xml:space="preserve"> TOC \f O \n \h \z \t "Observation" \c </w:instrText>
      </w:r>
      <w:r>
        <w:rPr>
          <w:bCs/>
        </w:rPr>
        <w:fldChar w:fldCharType="separate"/>
      </w:r>
      <w:hyperlink w:anchor="_Toc174129756" w:history="1">
        <w:r w:rsidR="007B45E5" w:rsidRPr="00EE6B68">
          <w:rPr>
            <w:rStyle w:val="Hyperlink"/>
            <w:noProof/>
            <w:lang w:val="en-GB"/>
          </w:rPr>
          <w:t>Observation 1</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There is no need to consider the general Rx-to-Tx gap in TS 38.211, § 4.3, as a criterium for RO validation.</w:t>
        </w:r>
      </w:hyperlink>
    </w:p>
    <w:p w14:paraId="026C1008" w14:textId="77BE20DB"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57" w:history="1">
        <w:r w:rsidR="007B45E5" w:rsidRPr="00EE6B68">
          <w:rPr>
            <w:rStyle w:val="Hyperlink"/>
            <w:noProof/>
          </w:rPr>
          <w:t>Observation 2</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Allowing repetitions among legacy and SBFD ROs will require the gNB to handle multiple hypotheses on which ROs are used for repetitions, complicate different power control schemes between legacy and SBFD ROs and may introduce ambiguity in the identificaton of an SBFD capable UE.</w:t>
        </w:r>
      </w:hyperlink>
    </w:p>
    <w:p w14:paraId="06AFB99C" w14:textId="0AA20D3E"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58" w:history="1">
        <w:r w:rsidR="007B45E5" w:rsidRPr="00EE6B68">
          <w:rPr>
            <w:rStyle w:val="Hyperlink"/>
            <w:noProof/>
          </w:rPr>
          <w:t>Observation 3</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PRACH is intimately related to SSB measurements. To reduce latency, it is desirable to limit the duration between the RO and its associated SSB and not introduce shifts in the SSB-to-RO mapping.</w:t>
        </w:r>
      </w:hyperlink>
    </w:p>
    <w:p w14:paraId="1E7039B8" w14:textId="68E34685"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59" w:history="1">
        <w:r w:rsidR="007B45E5" w:rsidRPr="00EE6B68">
          <w:rPr>
            <w:rStyle w:val="Hyperlink"/>
            <w:noProof/>
          </w:rPr>
          <w:t>Observation 4</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Allowing ROs to be located in a mix of only SBFD symbols, SBFD/UL/F symbols or only UL/F symbols will result in widely differing preamble detection performance among different ROs.</w:t>
        </w:r>
      </w:hyperlink>
    </w:p>
    <w:p w14:paraId="5262FA1C" w14:textId="34833A6B"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0" w:history="1">
        <w:r w:rsidR="007B45E5" w:rsidRPr="00EE6B68">
          <w:rPr>
            <w:rStyle w:val="Hyperlink"/>
            <w:noProof/>
          </w:rPr>
          <w:t>Observation 5</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Even if the network supports SBFD, the additional overhead associated with the introduction of more ROs should not be mandated.</w:t>
        </w:r>
      </w:hyperlink>
    </w:p>
    <w:p w14:paraId="3A21F08E" w14:textId="1E7D5947"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1" w:history="1">
        <w:r w:rsidR="007B45E5" w:rsidRPr="00EE6B68">
          <w:rPr>
            <w:rStyle w:val="Hyperlink"/>
            <w:noProof/>
          </w:rPr>
          <w:t>Observation 6</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Identifying SBFD capable UEs before capability signaling may be useful for leveraging Msg2,3,4 as well as UE capability signaling by use of SBFD resources.</w:t>
        </w:r>
      </w:hyperlink>
    </w:p>
    <w:p w14:paraId="43165ACB" w14:textId="4E5EC4EC"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2" w:history="1">
        <w:r w:rsidR="007B45E5" w:rsidRPr="00EE6B68">
          <w:rPr>
            <w:rStyle w:val="Hyperlink"/>
            <w:noProof/>
          </w:rPr>
          <w:t>Observation 7</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rPr>
          <w:t>PRACH preamble partitioning is already overutilized and should not be used for SBFD capability identification.</w:t>
        </w:r>
      </w:hyperlink>
    </w:p>
    <w:p w14:paraId="4BA5E41A" w14:textId="622892D4"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3" w:history="1">
        <w:r w:rsidR="007B45E5" w:rsidRPr="00EE6B68">
          <w:rPr>
            <w:rStyle w:val="Hyperlink"/>
            <w:noProof/>
          </w:rPr>
          <w:t>Observation 8</w:t>
        </w:r>
        <w:r w:rsidR="007B45E5">
          <w:rPr>
            <w:rFonts w:asciiTheme="minorHAnsi" w:eastAsiaTheme="minorEastAsia" w:hAnsiTheme="minorHAnsi"/>
            <w:b w:val="0"/>
            <w:noProof/>
            <w:kern w:val="2"/>
            <w:sz w:val="22"/>
            <w:lang w:val="en-SE" w:eastAsia="en-SE"/>
            <w14:ligatures w14:val="standardContextual"/>
          </w:rPr>
          <w:tab/>
        </w:r>
        <w:r w:rsidR="007B45E5" w:rsidRPr="00EE6B68">
          <w:rPr>
            <w:rStyle w:val="Hyperlink"/>
            <w:noProof/>
            <w:lang w:val="en-GB"/>
          </w:rPr>
          <w:t>RAN1 to leave to RAN2 to decide on triggering events for SBFD random access.</w:t>
        </w:r>
      </w:hyperlink>
    </w:p>
    <w:p w14:paraId="7D91EC5D" w14:textId="0C5EE77B" w:rsidR="006E1C82" w:rsidRDefault="006F6582" w:rsidP="006C1C86">
      <w:pPr>
        <w:pStyle w:val="BodyText"/>
      </w:pPr>
      <w:r>
        <w:fldChar w:fldCharType="end"/>
      </w:r>
    </w:p>
    <w:p w14:paraId="6225A1B8" w14:textId="77777777" w:rsidR="006E1C82" w:rsidRDefault="008E065E" w:rsidP="006C1C86">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9A3477" w14:textId="631D7187" w:rsidR="007B45E5" w:rsidRDefault="006E1C82"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174129764" w:history="1">
        <w:r w:rsidR="007B45E5" w:rsidRPr="008B7844">
          <w:rPr>
            <w:rStyle w:val="Hyperlink"/>
            <w:noProof/>
            <w:lang w:val="en-GB"/>
          </w:rPr>
          <w:t>Proposal 1</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As a baseline, the same agreements as has been agreed for RRC_CONNECTED that are adopted for RRC_IDLE/INACTIVE. Individual agreements can be further discussed upon identified needs by companies.</w:t>
        </w:r>
      </w:hyperlink>
    </w:p>
    <w:p w14:paraId="34DB7B65" w14:textId="41F13082"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5" w:history="1">
        <w:r w:rsidR="007B45E5" w:rsidRPr="008B7844">
          <w:rPr>
            <w:rStyle w:val="Hyperlink"/>
            <w:noProof/>
            <w:lang w:val="en-GB"/>
          </w:rPr>
          <w:t>Proposal 2</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 xml:space="preserve">For ROs within SBFD symbols, </w:t>
        </w:r>
        <w:r w:rsidR="007B45E5" w:rsidRPr="008B7844">
          <w:rPr>
            <w:rStyle w:val="Hyperlink"/>
            <w:i/>
            <w:iCs/>
            <w:noProof/>
          </w:rPr>
          <w:t>msg1-FrequencyStart</w:t>
        </w:r>
        <w:r w:rsidR="007B45E5" w:rsidRPr="008B7844">
          <w:rPr>
            <w:rStyle w:val="Hyperlink"/>
            <w:noProof/>
          </w:rPr>
          <w:t xml:space="preserve"> indicates the offset of the 1</w:t>
        </w:r>
        <w:r w:rsidR="007B45E5" w:rsidRPr="008B7844">
          <w:rPr>
            <w:rStyle w:val="Hyperlink"/>
            <w:noProof/>
            <w:vertAlign w:val="superscript"/>
          </w:rPr>
          <w:t>st</w:t>
        </w:r>
        <w:r w:rsidR="007B45E5" w:rsidRPr="008B7844">
          <w:rPr>
            <w:rStyle w:val="Hyperlink"/>
            <w:noProof/>
          </w:rPr>
          <w:t xml:space="preserve"> RO in relation to the start of the UL subband. The start of the n</w:t>
        </w:r>
        <w:r w:rsidR="007B45E5" w:rsidRPr="008B7844">
          <w:rPr>
            <w:rStyle w:val="Hyperlink"/>
            <w:noProof/>
            <w:vertAlign w:val="superscript"/>
          </w:rPr>
          <w:t>th</w:t>
        </w:r>
        <w:r w:rsidR="007B45E5" w:rsidRPr="008B7844">
          <w:rPr>
            <w:rStyle w:val="Hyperlink"/>
            <w:noProof/>
          </w:rPr>
          <w:t xml:space="preserve"> RO is determined by the legacy start of the n</w:t>
        </w:r>
        <w:r w:rsidR="007B45E5" w:rsidRPr="008B7844">
          <w:rPr>
            <w:rStyle w:val="Hyperlink"/>
            <w:noProof/>
            <w:vertAlign w:val="superscript"/>
          </w:rPr>
          <w:t>th</w:t>
        </w:r>
        <w:r w:rsidR="007B45E5" w:rsidRPr="008B7844">
          <w:rPr>
            <w:rStyle w:val="Hyperlink"/>
            <w:noProof/>
          </w:rPr>
          <w:t xml:space="preserve"> RO modulus of the UL subband less the RO bandwidth such that all ROs are always comprised within the UL subband.</w:t>
        </w:r>
      </w:hyperlink>
    </w:p>
    <w:p w14:paraId="63199413" w14:textId="68D37380"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6" w:history="1">
        <w:r w:rsidR="007B45E5" w:rsidRPr="008B7844">
          <w:rPr>
            <w:rStyle w:val="Hyperlink"/>
            <w:noProof/>
            <w:lang w:val="en-GB"/>
          </w:rPr>
          <w:t>Proposal 3</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lang w:val="en-GB"/>
          </w:rPr>
          <w:t>Adopt the same SSB-to-RO N</w:t>
        </w:r>
        <w:r w:rsidR="007B45E5" w:rsidRPr="008B7844">
          <w:rPr>
            <w:rStyle w:val="Hyperlink"/>
            <w:noProof/>
            <w:vertAlign w:val="subscript"/>
            <w:lang w:val="en-GB"/>
          </w:rPr>
          <w:t>gap</w:t>
        </w:r>
        <w:r w:rsidR="007B45E5" w:rsidRPr="008B7844">
          <w:rPr>
            <w:rStyle w:val="Hyperlink"/>
            <w:noProof/>
            <w:lang w:val="en-GB"/>
          </w:rPr>
          <w:t xml:space="preserve"> margins as are valid for legacy operation.</w:t>
        </w:r>
      </w:hyperlink>
    </w:p>
    <w:p w14:paraId="67529A8E" w14:textId="72C415A1"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7" w:history="1">
        <w:r w:rsidR="007B45E5" w:rsidRPr="008B7844">
          <w:rPr>
            <w:rStyle w:val="Hyperlink"/>
            <w:noProof/>
            <w:lang w:val="en-GB"/>
          </w:rPr>
          <w:t>Proposal 4</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Support separate power control for SBFD ROs for both single and dual RACH configurations.</w:t>
        </w:r>
      </w:hyperlink>
    </w:p>
    <w:p w14:paraId="67002AE0" w14:textId="047D7931"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8" w:history="1">
        <w:r w:rsidR="007B45E5" w:rsidRPr="008B7844">
          <w:rPr>
            <w:rStyle w:val="Hyperlink"/>
            <w:noProof/>
            <w:lang w:val="en-GB"/>
          </w:rPr>
          <w:t>Proposal 5</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Support configuration of prioritization between SBFD and legacy ROs for both single and dual RACH configurations.</w:t>
        </w:r>
      </w:hyperlink>
    </w:p>
    <w:p w14:paraId="0C79C5CB" w14:textId="5898AF75"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69" w:history="1">
        <w:r w:rsidR="007B45E5" w:rsidRPr="008B7844">
          <w:rPr>
            <w:rStyle w:val="Hyperlink"/>
            <w:noProof/>
            <w:lang w:val="en-GB"/>
          </w:rPr>
          <w:t>Proposal 6</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SBFD random access supports PRACH preamble repetitions using only SBFD ROs.</w:t>
        </w:r>
      </w:hyperlink>
    </w:p>
    <w:p w14:paraId="36A5BE3C" w14:textId="5519BC3B"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0" w:history="1">
        <w:r w:rsidR="007B45E5" w:rsidRPr="008B7844">
          <w:rPr>
            <w:rStyle w:val="Hyperlink"/>
            <w:noProof/>
            <w:lang w:val="en-GB"/>
          </w:rPr>
          <w:t>Proposal 7</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The additional RACH configuration uses the existing PRACH configurations tables for unpaired spectrum for both FR1 and FR2, i.e., Table 6.3.3.2-4 and Table 6.3.3.2-3, respectively (Alt. 1).</w:t>
        </w:r>
      </w:hyperlink>
    </w:p>
    <w:p w14:paraId="0F7FD433" w14:textId="3FBDB269"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1" w:history="1">
        <w:r w:rsidR="007B45E5" w:rsidRPr="008B7844">
          <w:rPr>
            <w:rStyle w:val="Hyperlink"/>
            <w:noProof/>
            <w:lang w:val="en-GB"/>
          </w:rPr>
          <w:t>Proposal 8</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For the additional RACH configuration, support further RO validation restrictions, e.g., by an RO puncturing bitmap.</w:t>
        </w:r>
      </w:hyperlink>
    </w:p>
    <w:p w14:paraId="35FC582F" w14:textId="1A8EA6E4"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2" w:history="1">
        <w:r w:rsidR="007B45E5" w:rsidRPr="008B7844">
          <w:rPr>
            <w:rStyle w:val="Hyperlink"/>
            <w:noProof/>
            <w:lang w:val="en-GB"/>
          </w:rPr>
          <w:t>Proposal 9</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Additional ROs entirely located in non-SBFD symbols configured by additional RACH configuration are invalid for SBFD-aware UEs (Alt. 2-3).</w:t>
        </w:r>
      </w:hyperlink>
    </w:p>
    <w:p w14:paraId="2CCFCAA2" w14:textId="780B56B1"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3" w:history="1">
        <w:r w:rsidR="007B45E5" w:rsidRPr="008B7844">
          <w:rPr>
            <w:rStyle w:val="Hyperlink"/>
            <w:noProof/>
            <w:lang w:val="en-GB"/>
          </w:rPr>
          <w:t>Proposal 10</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Unless Alt. 2-3 is agreed, support configuration of RO locations into:</w:t>
        </w:r>
      </w:hyperlink>
    </w:p>
    <w:p w14:paraId="3A9D6E3C" w14:textId="1BF30695"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4" w:history="1">
        <w:r w:rsidR="007B45E5" w:rsidRPr="008B7844">
          <w:rPr>
            <w:rStyle w:val="Hyperlink"/>
            <w:noProof/>
          </w:rPr>
          <w:t>a.</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SBFD symbols only (default configuration)</w:t>
        </w:r>
      </w:hyperlink>
    </w:p>
    <w:p w14:paraId="449AD547" w14:textId="0521BF13"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5" w:history="1">
        <w:r w:rsidR="007B45E5" w:rsidRPr="008B7844">
          <w:rPr>
            <w:rStyle w:val="Hyperlink"/>
            <w:noProof/>
          </w:rPr>
          <w:t>b.</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SBFD and UL/F symbols (per previous agreement)</w:t>
        </w:r>
      </w:hyperlink>
    </w:p>
    <w:p w14:paraId="02F4EAB3" w14:textId="3033979C"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6" w:history="1">
        <w:r w:rsidR="007B45E5" w:rsidRPr="008B7844">
          <w:rPr>
            <w:rStyle w:val="Hyperlink"/>
            <w:noProof/>
          </w:rPr>
          <w:t>c.</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UL/F symbols only (new configuration)</w:t>
        </w:r>
      </w:hyperlink>
    </w:p>
    <w:p w14:paraId="08DC89B5" w14:textId="70271128"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7" w:history="1">
        <w:r w:rsidR="007B45E5" w:rsidRPr="008B7844">
          <w:rPr>
            <w:rStyle w:val="Hyperlink"/>
            <w:noProof/>
            <w:lang w:val="en-GB"/>
          </w:rPr>
          <w:t>Proposal 11</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Support the following additional parameters for the additional RACH configuration (in addition to power control that is discussed elsewhere):</w:t>
        </w:r>
      </w:hyperlink>
    </w:p>
    <w:p w14:paraId="0F9B8C79" w14:textId="54988419"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8" w:history="1">
        <w:r w:rsidR="007B45E5" w:rsidRPr="008B7844">
          <w:rPr>
            <w:rStyle w:val="Hyperlink"/>
            <w:noProof/>
          </w:rPr>
          <w:t>a.</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prach-ConfigurationIndex</w:t>
        </w:r>
      </w:hyperlink>
    </w:p>
    <w:p w14:paraId="5D68AC67" w14:textId="6B7EC2ED"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79" w:history="1">
        <w:r w:rsidR="007B45E5" w:rsidRPr="008B7844">
          <w:rPr>
            <w:rStyle w:val="Hyperlink"/>
            <w:noProof/>
          </w:rPr>
          <w:t>b.</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msg1-SubcarrierSpacing</w:t>
        </w:r>
      </w:hyperlink>
    </w:p>
    <w:p w14:paraId="13AACDB0" w14:textId="656D4B9E"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0" w:history="1">
        <w:r w:rsidR="007B45E5" w:rsidRPr="008B7844">
          <w:rPr>
            <w:rStyle w:val="Hyperlink"/>
            <w:noProof/>
          </w:rPr>
          <w:t>c.</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msg1-FrequencyStart</w:t>
        </w:r>
      </w:hyperlink>
    </w:p>
    <w:p w14:paraId="1AA1A810" w14:textId="3131232C"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1" w:history="1">
        <w:r w:rsidR="007B45E5" w:rsidRPr="008B7844">
          <w:rPr>
            <w:rStyle w:val="Hyperlink"/>
            <w:noProof/>
          </w:rPr>
          <w:t>d.</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msg1-FDM</w:t>
        </w:r>
      </w:hyperlink>
    </w:p>
    <w:p w14:paraId="46B94075" w14:textId="5346682D"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2" w:history="1">
        <w:r w:rsidR="007B45E5" w:rsidRPr="008B7844">
          <w:rPr>
            <w:rStyle w:val="Hyperlink"/>
            <w:noProof/>
          </w:rPr>
          <w:t>e.</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ssb-perRACH-OccasionAndCB-PreamblesPerSSB</w:t>
        </w:r>
      </w:hyperlink>
    </w:p>
    <w:p w14:paraId="4BEAAFC1" w14:textId="4D4AF4B2"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3" w:history="1">
        <w:r w:rsidR="007B45E5" w:rsidRPr="008B7844">
          <w:rPr>
            <w:rStyle w:val="Hyperlink"/>
            <w:noProof/>
          </w:rPr>
          <w:t>f.</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totalNumberOfRA-Preambles</w:t>
        </w:r>
      </w:hyperlink>
    </w:p>
    <w:p w14:paraId="0565647F" w14:textId="6BCD00F6"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4" w:history="1">
        <w:r w:rsidR="007B45E5" w:rsidRPr="008B7844">
          <w:rPr>
            <w:rStyle w:val="Hyperlink"/>
            <w:noProof/>
          </w:rPr>
          <w:t>g.</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prach-RootSequenceIndex</w:t>
        </w:r>
      </w:hyperlink>
    </w:p>
    <w:p w14:paraId="1DCD0666" w14:textId="5AEFB63D"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5" w:history="1">
        <w:r w:rsidR="007B45E5" w:rsidRPr="008B7844">
          <w:rPr>
            <w:rStyle w:val="Hyperlink"/>
            <w:noProof/>
            <w:lang w:val="en-GB"/>
          </w:rPr>
          <w:t>Proposal 12</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Network enabling of SBFD RACH is indicated in RRC for the single RACH configuration.</w:t>
        </w:r>
      </w:hyperlink>
    </w:p>
    <w:p w14:paraId="5D7B3B9D" w14:textId="637C6DB1"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6" w:history="1">
        <w:r w:rsidR="007B45E5" w:rsidRPr="008B7844">
          <w:rPr>
            <w:rStyle w:val="Hyperlink"/>
            <w:noProof/>
            <w:lang w:val="en-GB"/>
          </w:rPr>
          <w:t>Proposal 13</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rPr>
          <w:t>The selected PRACH RO (SBFD or legacy) determines whether the UE follows the legacy or an SBFD-specific RACH procedure for Msg2, 3, 4.</w:t>
        </w:r>
      </w:hyperlink>
    </w:p>
    <w:p w14:paraId="5BAAD797" w14:textId="1D9102D4" w:rsidR="007B45E5" w:rsidRDefault="00000000" w:rsidP="006C1C86">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4129787" w:history="1">
        <w:r w:rsidR="007B45E5" w:rsidRPr="008B7844">
          <w:rPr>
            <w:rStyle w:val="Hyperlink"/>
            <w:noProof/>
            <w:lang w:val="en-GB"/>
          </w:rPr>
          <w:t>Proposal 14</w:t>
        </w:r>
        <w:r w:rsidR="007B45E5">
          <w:rPr>
            <w:rFonts w:asciiTheme="minorHAnsi" w:eastAsiaTheme="minorEastAsia" w:hAnsiTheme="minorHAnsi"/>
            <w:b w:val="0"/>
            <w:noProof/>
            <w:kern w:val="2"/>
            <w:sz w:val="22"/>
            <w:lang w:val="en-SE" w:eastAsia="en-SE"/>
            <w14:ligatures w14:val="standardContextual"/>
          </w:rPr>
          <w:tab/>
        </w:r>
        <w:r w:rsidR="007B45E5" w:rsidRPr="008B7844">
          <w:rPr>
            <w:rStyle w:val="Hyperlink"/>
            <w:noProof/>
            <w:lang w:val="en-GB"/>
          </w:rPr>
          <w:t>RAN1 to leave to RAN2 to decide if a new MAC CE should be introduced for identification of SBFD-aware UEs in Msg3.</w:t>
        </w:r>
      </w:hyperlink>
    </w:p>
    <w:p w14:paraId="58ACA235" w14:textId="023843B0" w:rsidR="00C01F33" w:rsidRPr="00CE0424" w:rsidRDefault="006E1C82" w:rsidP="006C1C86">
      <w:pPr>
        <w:pStyle w:val="BodyText"/>
      </w:pPr>
      <w:r>
        <w:fldChar w:fldCharType="end"/>
      </w:r>
    </w:p>
    <w:p w14:paraId="71D79D99" w14:textId="77777777" w:rsidR="00F507D1" w:rsidRPr="00CE0424" w:rsidRDefault="00F507D1" w:rsidP="00CE0424">
      <w:pPr>
        <w:pStyle w:val="Heading1"/>
      </w:pPr>
      <w:bookmarkStart w:id="122" w:name="_In-sequence_SDU_delivery"/>
      <w:bookmarkEnd w:id="122"/>
      <w:r w:rsidRPr="00CE0424">
        <w:t>References</w:t>
      </w:r>
    </w:p>
    <w:p w14:paraId="150FDEDA" w14:textId="76C8ECB9" w:rsidR="00C45736" w:rsidRDefault="00C45736" w:rsidP="00CE50E8">
      <w:pPr>
        <w:pStyle w:val="Reference"/>
        <w:rPr>
          <w:rFonts w:eastAsia="Batang" w:cs="Arial"/>
        </w:rPr>
      </w:pPr>
      <w:bookmarkStart w:id="123" w:name="_Ref174087640"/>
      <w:bookmarkStart w:id="124" w:name="_Ref166054837"/>
      <w:bookmarkStart w:id="125" w:name="_Ref174151459"/>
      <w:bookmarkStart w:id="126" w:name="_Ref189809556"/>
      <w:r w:rsidRPr="00C10927">
        <w:t>RP-241614</w:t>
      </w:r>
      <w:r>
        <w:t>, “</w:t>
      </w:r>
      <w:r w:rsidRPr="00C10927">
        <w:t>Revised WID: Evolution of NR duplex operation: Sub-band full duplex (SBFD)</w:t>
      </w:r>
      <w:r>
        <w:t>,” Huawei, RAN #104, June 2024.</w:t>
      </w:r>
      <w:bookmarkEnd w:id="123"/>
    </w:p>
    <w:p w14:paraId="79946611" w14:textId="051C6A1B" w:rsidR="00CE50E8" w:rsidRDefault="00C87213" w:rsidP="00CE50E8">
      <w:pPr>
        <w:pStyle w:val="Reference"/>
        <w:rPr>
          <w:rFonts w:eastAsia="Batang" w:cs="Arial"/>
        </w:rPr>
      </w:pPr>
      <w:bookmarkStart w:id="127" w:name="_Ref174087827"/>
      <w:r>
        <w:rPr>
          <w:rFonts w:eastAsia="Batang" w:cs="Arial"/>
        </w:rPr>
        <w:t xml:space="preserve">R1-2401937, </w:t>
      </w:r>
      <w:r w:rsidR="00CE50E8" w:rsidRPr="00A144DE">
        <w:rPr>
          <w:rFonts w:eastAsia="Batang" w:cs="Arial"/>
        </w:rPr>
        <w:t>Final Report of 3GPP TSG RAN WG1 #116</w:t>
      </w:r>
      <w:r w:rsidR="00CE50E8" w:rsidRPr="009425BE">
        <w:rPr>
          <w:rFonts w:eastAsia="Batang" w:cs="Arial"/>
        </w:rPr>
        <w:t xml:space="preserve">, </w:t>
      </w:r>
      <w:r w:rsidR="008533D3">
        <w:rPr>
          <w:rFonts w:eastAsia="Batang" w:cs="Arial"/>
        </w:rPr>
        <w:t xml:space="preserve">ETSI </w:t>
      </w:r>
      <w:r w:rsidR="00CE50E8" w:rsidRPr="009425BE">
        <w:rPr>
          <w:rFonts w:eastAsia="Batang" w:cs="Arial"/>
        </w:rPr>
        <w:t>MCC</w:t>
      </w:r>
      <w:r w:rsidR="00CE50E8">
        <w:rPr>
          <w:rFonts w:eastAsia="Batang" w:cs="Arial"/>
        </w:rPr>
        <w:t>,</w:t>
      </w:r>
      <w:r w:rsidR="00CE50E8" w:rsidRPr="00A144DE">
        <w:rPr>
          <w:rFonts w:eastAsia="Batang" w:cs="Arial"/>
        </w:rPr>
        <w:t xml:space="preserve"> v1.0.0, RAN1 #116</w:t>
      </w:r>
      <w:r>
        <w:rPr>
          <w:rFonts w:eastAsia="Batang" w:cs="Arial"/>
        </w:rPr>
        <w:t>bis</w:t>
      </w:r>
      <w:r w:rsidR="00CE50E8" w:rsidRPr="00A144DE">
        <w:rPr>
          <w:rFonts w:eastAsia="Batang" w:cs="Arial"/>
        </w:rPr>
        <w:t xml:space="preserve">, </w:t>
      </w:r>
      <w:r>
        <w:rPr>
          <w:rFonts w:eastAsia="Batang" w:cs="Arial"/>
        </w:rPr>
        <w:t>April</w:t>
      </w:r>
      <w:r w:rsidR="00CE50E8" w:rsidRPr="00A144DE">
        <w:rPr>
          <w:rFonts w:eastAsia="Batang" w:cs="Arial"/>
        </w:rPr>
        <w:t xml:space="preserve"> 2024.</w:t>
      </w:r>
      <w:bookmarkEnd w:id="124"/>
      <w:bookmarkEnd w:id="127"/>
    </w:p>
    <w:p w14:paraId="41AF0BEE" w14:textId="3A8E5DE8" w:rsidR="00C87213" w:rsidRPr="00085C06" w:rsidRDefault="00C87213" w:rsidP="00CE50E8">
      <w:pPr>
        <w:pStyle w:val="Reference"/>
        <w:rPr>
          <w:rFonts w:eastAsia="Batang" w:cs="Arial"/>
        </w:rPr>
      </w:pPr>
      <w:bookmarkStart w:id="128" w:name="_Ref174046641"/>
      <w:r w:rsidRPr="008533D3">
        <w:rPr>
          <w:rFonts w:eastAsia="Batang" w:cs="Arial"/>
        </w:rPr>
        <w:t>R1-</w:t>
      </w:r>
      <w:r w:rsidR="008533D3" w:rsidRPr="008533D3">
        <w:rPr>
          <w:rFonts w:eastAsia="Batang" w:cs="Arial"/>
        </w:rPr>
        <w:t>2405782</w:t>
      </w:r>
      <w:r w:rsidRPr="008533D3">
        <w:rPr>
          <w:rFonts w:eastAsia="Batang" w:cs="Arial"/>
        </w:rPr>
        <w:t xml:space="preserve">, “Final Report of 3GPP TSG RAN WG1 #117,” </w:t>
      </w:r>
      <w:r w:rsidR="008533D3" w:rsidRPr="00085C06">
        <w:rPr>
          <w:rFonts w:eastAsia="Batang" w:cs="Arial"/>
        </w:rPr>
        <w:t xml:space="preserve">ETSI </w:t>
      </w:r>
      <w:r w:rsidRPr="008533D3">
        <w:rPr>
          <w:rFonts w:eastAsia="Batang" w:cs="Arial"/>
        </w:rPr>
        <w:t>MCC, v 1.0.0, RAN1 #118, August 2024.</w:t>
      </w:r>
      <w:bookmarkEnd w:id="128"/>
    </w:p>
    <w:p w14:paraId="7E6E87CC" w14:textId="4BDC058D" w:rsidR="005F3025" w:rsidRPr="00CE0424" w:rsidRDefault="005F3025" w:rsidP="00085C06">
      <w:pPr>
        <w:pStyle w:val="Reference"/>
        <w:numPr>
          <w:ilvl w:val="0"/>
          <w:numId w:val="0"/>
        </w:numPr>
      </w:pPr>
    </w:p>
    <w:bookmarkEnd w:id="125"/>
    <w:bookmarkEnd w:id="126"/>
    <w:p w14:paraId="715CA09B" w14:textId="77777777" w:rsidR="003A7EF3" w:rsidRPr="00CE0424" w:rsidRDefault="003A7EF3" w:rsidP="00116C05">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CB1D7" w14:textId="77777777" w:rsidR="0083308A" w:rsidRDefault="0083308A" w:rsidP="00116C05">
      <w:r>
        <w:separator/>
      </w:r>
    </w:p>
  </w:endnote>
  <w:endnote w:type="continuationSeparator" w:id="0">
    <w:p w14:paraId="5032E59A" w14:textId="77777777" w:rsidR="0083308A" w:rsidRDefault="0083308A" w:rsidP="00116C05">
      <w:r>
        <w:continuationSeparator/>
      </w:r>
    </w:p>
  </w:endnote>
  <w:endnote w:type="continuationNotice" w:id="1">
    <w:p w14:paraId="30DA7FCD" w14:textId="77777777" w:rsidR="0083308A" w:rsidRDefault="0083308A" w:rsidP="00116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19BA8" w14:textId="77777777" w:rsidR="0083308A" w:rsidRDefault="0083308A" w:rsidP="00116C05">
      <w:r>
        <w:separator/>
      </w:r>
    </w:p>
  </w:footnote>
  <w:footnote w:type="continuationSeparator" w:id="0">
    <w:p w14:paraId="0EF59D3A" w14:textId="77777777" w:rsidR="0083308A" w:rsidRDefault="0083308A" w:rsidP="00116C05">
      <w:r>
        <w:continuationSeparator/>
      </w:r>
    </w:p>
  </w:footnote>
  <w:footnote w:type="continuationNotice" w:id="1">
    <w:p w14:paraId="55A5C3D9" w14:textId="77777777" w:rsidR="0083308A" w:rsidRDefault="0083308A" w:rsidP="00116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116C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EF7B26"/>
    <w:multiLevelType w:val="hybridMultilevel"/>
    <w:tmpl w:val="306C2F84"/>
    <w:lvl w:ilvl="0" w:tplc="35382A9C">
      <w:start w:val="1"/>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635A19"/>
    <w:multiLevelType w:val="hybridMultilevel"/>
    <w:tmpl w:val="716EF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49247BBE"/>
    <w:lvl w:ilvl="0" w:tplc="CEE8437E">
      <w:start w:val="1"/>
      <w:numFmt w:val="decimal"/>
      <w:pStyle w:val="Proposal"/>
      <w:lvlText w:val="Proposal %1"/>
      <w:lvlJc w:val="left"/>
      <w:pPr>
        <w:tabs>
          <w:tab w:val="num" w:pos="10376"/>
        </w:tabs>
        <w:ind w:left="10376" w:hanging="1304"/>
      </w:pPr>
      <w:rPr>
        <w:rFonts w:hint="default"/>
        <w:lang w:val="en-GB"/>
      </w:rPr>
    </w:lvl>
    <w:lvl w:ilvl="1" w:tplc="04090019">
      <w:start w:val="1"/>
      <w:numFmt w:val="lowerLetter"/>
      <w:lvlText w:val="%2."/>
      <w:lvlJc w:val="left"/>
      <w:pPr>
        <w:tabs>
          <w:tab w:val="num" w:pos="10512"/>
        </w:tabs>
        <w:ind w:left="10512" w:hanging="360"/>
      </w:pPr>
    </w:lvl>
    <w:lvl w:ilvl="2" w:tplc="0409001B" w:tentative="1">
      <w:start w:val="1"/>
      <w:numFmt w:val="lowerRoman"/>
      <w:lvlText w:val="%3."/>
      <w:lvlJc w:val="right"/>
      <w:pPr>
        <w:tabs>
          <w:tab w:val="num" w:pos="11232"/>
        </w:tabs>
        <w:ind w:left="11232" w:hanging="180"/>
      </w:pPr>
    </w:lvl>
    <w:lvl w:ilvl="3" w:tplc="0409000F" w:tentative="1">
      <w:start w:val="1"/>
      <w:numFmt w:val="decimal"/>
      <w:lvlText w:val="%4."/>
      <w:lvlJc w:val="left"/>
      <w:pPr>
        <w:tabs>
          <w:tab w:val="num" w:pos="11952"/>
        </w:tabs>
        <w:ind w:left="11952" w:hanging="360"/>
      </w:pPr>
    </w:lvl>
    <w:lvl w:ilvl="4" w:tplc="04090019" w:tentative="1">
      <w:start w:val="1"/>
      <w:numFmt w:val="lowerLetter"/>
      <w:lvlText w:val="%5."/>
      <w:lvlJc w:val="left"/>
      <w:pPr>
        <w:tabs>
          <w:tab w:val="num" w:pos="12672"/>
        </w:tabs>
        <w:ind w:left="12672" w:hanging="360"/>
      </w:pPr>
    </w:lvl>
    <w:lvl w:ilvl="5" w:tplc="0409001B" w:tentative="1">
      <w:start w:val="1"/>
      <w:numFmt w:val="lowerRoman"/>
      <w:lvlText w:val="%6."/>
      <w:lvlJc w:val="right"/>
      <w:pPr>
        <w:tabs>
          <w:tab w:val="num" w:pos="13392"/>
        </w:tabs>
        <w:ind w:left="13392" w:hanging="180"/>
      </w:pPr>
    </w:lvl>
    <w:lvl w:ilvl="6" w:tplc="0409000F" w:tentative="1">
      <w:start w:val="1"/>
      <w:numFmt w:val="decimal"/>
      <w:lvlText w:val="%7."/>
      <w:lvlJc w:val="left"/>
      <w:pPr>
        <w:tabs>
          <w:tab w:val="num" w:pos="14112"/>
        </w:tabs>
        <w:ind w:left="14112" w:hanging="360"/>
      </w:pPr>
    </w:lvl>
    <w:lvl w:ilvl="7" w:tplc="04090019" w:tentative="1">
      <w:start w:val="1"/>
      <w:numFmt w:val="lowerLetter"/>
      <w:lvlText w:val="%8."/>
      <w:lvlJc w:val="left"/>
      <w:pPr>
        <w:tabs>
          <w:tab w:val="num" w:pos="14832"/>
        </w:tabs>
        <w:ind w:left="14832" w:hanging="360"/>
      </w:pPr>
    </w:lvl>
    <w:lvl w:ilvl="8" w:tplc="0409001B" w:tentative="1">
      <w:start w:val="1"/>
      <w:numFmt w:val="lowerRoman"/>
      <w:lvlText w:val="%9."/>
      <w:lvlJc w:val="right"/>
      <w:pPr>
        <w:tabs>
          <w:tab w:val="num" w:pos="15552"/>
        </w:tabs>
        <w:ind w:left="15552"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1733AF"/>
    <w:multiLevelType w:val="hybridMultilevel"/>
    <w:tmpl w:val="00481FA6"/>
    <w:lvl w:ilvl="0" w:tplc="1EEEF84C">
      <w:start w:val="1"/>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6C7C3178"/>
    <w:multiLevelType w:val="multilevel"/>
    <w:tmpl w:val="83B40B1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G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19"/>
  </w:num>
  <w:num w:numId="3" w16cid:durableId="1913851990">
    <w:abstractNumId w:val="15"/>
  </w:num>
  <w:num w:numId="4" w16cid:durableId="2090736220">
    <w:abstractNumId w:val="16"/>
  </w:num>
  <w:num w:numId="5" w16cid:durableId="674647555">
    <w:abstractNumId w:val="12"/>
  </w:num>
  <w:num w:numId="6" w16cid:durableId="1498110781">
    <w:abstractNumId w:val="18"/>
  </w:num>
  <w:num w:numId="7" w16cid:durableId="1084961623">
    <w:abstractNumId w:val="23"/>
  </w:num>
  <w:num w:numId="8" w16cid:durableId="2086880802">
    <w:abstractNumId w:val="13"/>
  </w:num>
  <w:num w:numId="9" w16cid:durableId="1576015632">
    <w:abstractNumId w:val="10"/>
  </w:num>
  <w:num w:numId="10" w16cid:durableId="2126541449">
    <w:abstractNumId w:val="2"/>
  </w:num>
  <w:num w:numId="11" w16cid:durableId="693337342">
    <w:abstractNumId w:val="1"/>
  </w:num>
  <w:num w:numId="12" w16cid:durableId="1916816155">
    <w:abstractNumId w:val="0"/>
  </w:num>
  <w:num w:numId="13" w16cid:durableId="1591889704">
    <w:abstractNumId w:val="20"/>
  </w:num>
  <w:num w:numId="14" w16cid:durableId="16199632">
    <w:abstractNumId w:val="21"/>
  </w:num>
  <w:num w:numId="15" w16cid:durableId="298389984">
    <w:abstractNumId w:val="17"/>
  </w:num>
  <w:num w:numId="16" w16cid:durableId="1337730544">
    <w:abstractNumId w:val="24"/>
  </w:num>
  <w:num w:numId="17" w16cid:durableId="561411510">
    <w:abstractNumId w:val="7"/>
  </w:num>
  <w:num w:numId="18" w16cid:durableId="1204906343">
    <w:abstractNumId w:val="9"/>
  </w:num>
  <w:num w:numId="19" w16cid:durableId="578713189">
    <w:abstractNumId w:val="5"/>
  </w:num>
  <w:num w:numId="20" w16cid:durableId="1661736935">
    <w:abstractNumId w:val="28"/>
  </w:num>
  <w:num w:numId="21" w16cid:durableId="1200509507">
    <w:abstractNumId w:val="14"/>
  </w:num>
  <w:num w:numId="22" w16cid:durableId="1050613117">
    <w:abstractNumId w:val="27"/>
  </w:num>
  <w:num w:numId="23" w16cid:durableId="305624043">
    <w:abstractNumId w:val="26"/>
  </w:num>
  <w:num w:numId="24" w16cid:durableId="1867131685">
    <w:abstractNumId w:val="22"/>
  </w:num>
  <w:num w:numId="25" w16cid:durableId="2052611356">
    <w:abstractNumId w:val="11"/>
  </w:num>
  <w:num w:numId="26" w16cid:durableId="1343506680">
    <w:abstractNumId w:val="25"/>
  </w:num>
  <w:num w:numId="27" w16cid:durableId="1569194214">
    <w:abstractNumId w:val="4"/>
  </w:num>
  <w:num w:numId="28" w16cid:durableId="1974602681">
    <w:abstractNumId w:val="6"/>
  </w:num>
  <w:num w:numId="29" w16cid:durableId="11668231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17AF3"/>
    <w:rsid w:val="0002564D"/>
    <w:rsid w:val="00025ECA"/>
    <w:rsid w:val="000325B8"/>
    <w:rsid w:val="00034C15"/>
    <w:rsid w:val="000366E5"/>
    <w:rsid w:val="00036BA1"/>
    <w:rsid w:val="000422E2"/>
    <w:rsid w:val="00042F22"/>
    <w:rsid w:val="000444EF"/>
    <w:rsid w:val="000456F0"/>
    <w:rsid w:val="00052A07"/>
    <w:rsid w:val="000534E3"/>
    <w:rsid w:val="0005606A"/>
    <w:rsid w:val="00057117"/>
    <w:rsid w:val="000616E7"/>
    <w:rsid w:val="0006487E"/>
    <w:rsid w:val="00065E1A"/>
    <w:rsid w:val="0007134D"/>
    <w:rsid w:val="00077E5F"/>
    <w:rsid w:val="0008036A"/>
    <w:rsid w:val="00081513"/>
    <w:rsid w:val="00081AE6"/>
    <w:rsid w:val="000855EB"/>
    <w:rsid w:val="00085B52"/>
    <w:rsid w:val="00085C06"/>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6C"/>
    <w:rsid w:val="000C165A"/>
    <w:rsid w:val="000C2E19"/>
    <w:rsid w:val="000D0D07"/>
    <w:rsid w:val="000D4797"/>
    <w:rsid w:val="000E0527"/>
    <w:rsid w:val="000E1E92"/>
    <w:rsid w:val="000F06D6"/>
    <w:rsid w:val="000F0EB1"/>
    <w:rsid w:val="000F1106"/>
    <w:rsid w:val="000F31E9"/>
    <w:rsid w:val="000F3BE9"/>
    <w:rsid w:val="000F3F6C"/>
    <w:rsid w:val="000F4C93"/>
    <w:rsid w:val="000F6DF3"/>
    <w:rsid w:val="001005FF"/>
    <w:rsid w:val="001062FB"/>
    <w:rsid w:val="001063E6"/>
    <w:rsid w:val="00113CF4"/>
    <w:rsid w:val="001153EA"/>
    <w:rsid w:val="00115643"/>
    <w:rsid w:val="00116765"/>
    <w:rsid w:val="00116C05"/>
    <w:rsid w:val="001219F5"/>
    <w:rsid w:val="00121A20"/>
    <w:rsid w:val="0012377F"/>
    <w:rsid w:val="00124314"/>
    <w:rsid w:val="00126B4A"/>
    <w:rsid w:val="00132FD0"/>
    <w:rsid w:val="001344C0"/>
    <w:rsid w:val="001346FA"/>
    <w:rsid w:val="00135252"/>
    <w:rsid w:val="00137AB5"/>
    <w:rsid w:val="00137F0B"/>
    <w:rsid w:val="0014458B"/>
    <w:rsid w:val="00151E23"/>
    <w:rsid w:val="001526E0"/>
    <w:rsid w:val="001551B5"/>
    <w:rsid w:val="00163C87"/>
    <w:rsid w:val="001659C1"/>
    <w:rsid w:val="00173A10"/>
    <w:rsid w:val="00173A8E"/>
    <w:rsid w:val="0017502C"/>
    <w:rsid w:val="0018143F"/>
    <w:rsid w:val="00181FF8"/>
    <w:rsid w:val="00190AC1"/>
    <w:rsid w:val="0019341A"/>
    <w:rsid w:val="00197DF9"/>
    <w:rsid w:val="001A1987"/>
    <w:rsid w:val="001A2564"/>
    <w:rsid w:val="001A6173"/>
    <w:rsid w:val="001A6CBA"/>
    <w:rsid w:val="001B0D97"/>
    <w:rsid w:val="001B582D"/>
    <w:rsid w:val="001B5A5D"/>
    <w:rsid w:val="001C1CE5"/>
    <w:rsid w:val="001C3D2A"/>
    <w:rsid w:val="001D51BA"/>
    <w:rsid w:val="001D53E7"/>
    <w:rsid w:val="001D5A55"/>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25"/>
    <w:rsid w:val="00225C54"/>
    <w:rsid w:val="00227321"/>
    <w:rsid w:val="00230765"/>
    <w:rsid w:val="00230D18"/>
    <w:rsid w:val="002319E4"/>
    <w:rsid w:val="00235632"/>
    <w:rsid w:val="00235872"/>
    <w:rsid w:val="00241559"/>
    <w:rsid w:val="002435B3"/>
    <w:rsid w:val="002458EB"/>
    <w:rsid w:val="002500C8"/>
    <w:rsid w:val="0025276F"/>
    <w:rsid w:val="00257543"/>
    <w:rsid w:val="002617E7"/>
    <w:rsid w:val="00264228"/>
    <w:rsid w:val="00264334"/>
    <w:rsid w:val="0026473E"/>
    <w:rsid w:val="0026511C"/>
    <w:rsid w:val="00266214"/>
    <w:rsid w:val="0026621A"/>
    <w:rsid w:val="00267C83"/>
    <w:rsid w:val="0027144F"/>
    <w:rsid w:val="00271813"/>
    <w:rsid w:val="00271F3A"/>
    <w:rsid w:val="00273278"/>
    <w:rsid w:val="002737F4"/>
    <w:rsid w:val="00277F24"/>
    <w:rsid w:val="002805F5"/>
    <w:rsid w:val="00280751"/>
    <w:rsid w:val="0028280A"/>
    <w:rsid w:val="00286ACD"/>
    <w:rsid w:val="00287838"/>
    <w:rsid w:val="002907B5"/>
    <w:rsid w:val="002916B3"/>
    <w:rsid w:val="00292EB7"/>
    <w:rsid w:val="002960D6"/>
    <w:rsid w:val="00296227"/>
    <w:rsid w:val="00296F44"/>
    <w:rsid w:val="0029777D"/>
    <w:rsid w:val="002A055E"/>
    <w:rsid w:val="002A1D4E"/>
    <w:rsid w:val="002A2869"/>
    <w:rsid w:val="002A578E"/>
    <w:rsid w:val="002B0060"/>
    <w:rsid w:val="002B24D6"/>
    <w:rsid w:val="002C1E62"/>
    <w:rsid w:val="002C41E6"/>
    <w:rsid w:val="002D071A"/>
    <w:rsid w:val="002D34B2"/>
    <w:rsid w:val="002D48B0"/>
    <w:rsid w:val="002D5B37"/>
    <w:rsid w:val="002D6CEE"/>
    <w:rsid w:val="002D7637"/>
    <w:rsid w:val="002E17F2"/>
    <w:rsid w:val="002E7CAE"/>
    <w:rsid w:val="002F13E4"/>
    <w:rsid w:val="002F2771"/>
    <w:rsid w:val="002F37A9"/>
    <w:rsid w:val="002F3CED"/>
    <w:rsid w:val="0030139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8AE"/>
    <w:rsid w:val="0034286E"/>
    <w:rsid w:val="00342BD7"/>
    <w:rsid w:val="00346DB5"/>
    <w:rsid w:val="003477B1"/>
    <w:rsid w:val="00357380"/>
    <w:rsid w:val="003602D9"/>
    <w:rsid w:val="003604CE"/>
    <w:rsid w:val="003624A0"/>
    <w:rsid w:val="00370E47"/>
    <w:rsid w:val="0037163C"/>
    <w:rsid w:val="003742AC"/>
    <w:rsid w:val="00377CE1"/>
    <w:rsid w:val="00382FBC"/>
    <w:rsid w:val="00385BF0"/>
    <w:rsid w:val="003939FF"/>
    <w:rsid w:val="003A2223"/>
    <w:rsid w:val="003A2A0F"/>
    <w:rsid w:val="003A45A1"/>
    <w:rsid w:val="003A4A38"/>
    <w:rsid w:val="003A5B0A"/>
    <w:rsid w:val="003A6BAC"/>
    <w:rsid w:val="003A70A4"/>
    <w:rsid w:val="003A7EF3"/>
    <w:rsid w:val="003B159C"/>
    <w:rsid w:val="003B369F"/>
    <w:rsid w:val="003B36A3"/>
    <w:rsid w:val="003B64BB"/>
    <w:rsid w:val="003B7FE5"/>
    <w:rsid w:val="003C11C8"/>
    <w:rsid w:val="003C2702"/>
    <w:rsid w:val="003C7806"/>
    <w:rsid w:val="003C7827"/>
    <w:rsid w:val="003D0CC2"/>
    <w:rsid w:val="003D109F"/>
    <w:rsid w:val="003D2478"/>
    <w:rsid w:val="003D3C45"/>
    <w:rsid w:val="003D5B1F"/>
    <w:rsid w:val="003D6D1D"/>
    <w:rsid w:val="003E15FA"/>
    <w:rsid w:val="003E47A5"/>
    <w:rsid w:val="003E55E4"/>
    <w:rsid w:val="003E74E3"/>
    <w:rsid w:val="003F05C7"/>
    <w:rsid w:val="003F2CD4"/>
    <w:rsid w:val="003F3FDC"/>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2E12"/>
    <w:rsid w:val="004242F4"/>
    <w:rsid w:val="0042576C"/>
    <w:rsid w:val="00427248"/>
    <w:rsid w:val="00437447"/>
    <w:rsid w:val="00441A92"/>
    <w:rsid w:val="0044204C"/>
    <w:rsid w:val="004431DC"/>
    <w:rsid w:val="00444F56"/>
    <w:rsid w:val="00446488"/>
    <w:rsid w:val="004517AA"/>
    <w:rsid w:val="00452CAC"/>
    <w:rsid w:val="004565C4"/>
    <w:rsid w:val="00457565"/>
    <w:rsid w:val="00457B71"/>
    <w:rsid w:val="00464689"/>
    <w:rsid w:val="004669E2"/>
    <w:rsid w:val="00470C31"/>
    <w:rsid w:val="0047116E"/>
    <w:rsid w:val="00471DE0"/>
    <w:rsid w:val="004734D0"/>
    <w:rsid w:val="0047556B"/>
    <w:rsid w:val="00477768"/>
    <w:rsid w:val="00477EA3"/>
    <w:rsid w:val="00483BD0"/>
    <w:rsid w:val="00484812"/>
    <w:rsid w:val="00492BC5"/>
    <w:rsid w:val="004964F1"/>
    <w:rsid w:val="004A091B"/>
    <w:rsid w:val="004A16BC"/>
    <w:rsid w:val="004A2B94"/>
    <w:rsid w:val="004B314B"/>
    <w:rsid w:val="004B6F6A"/>
    <w:rsid w:val="004B7C0C"/>
    <w:rsid w:val="004C3898"/>
    <w:rsid w:val="004D092D"/>
    <w:rsid w:val="004D36B1"/>
    <w:rsid w:val="004D7EBD"/>
    <w:rsid w:val="004E2680"/>
    <w:rsid w:val="004E28F9"/>
    <w:rsid w:val="004E462E"/>
    <w:rsid w:val="004E4A25"/>
    <w:rsid w:val="004E56DC"/>
    <w:rsid w:val="004E76F4"/>
    <w:rsid w:val="004F0B4E"/>
    <w:rsid w:val="004F0B6C"/>
    <w:rsid w:val="004F2078"/>
    <w:rsid w:val="004F4DA3"/>
    <w:rsid w:val="004F5CC5"/>
    <w:rsid w:val="00502C8C"/>
    <w:rsid w:val="00506557"/>
    <w:rsid w:val="0050677A"/>
    <w:rsid w:val="005108D8"/>
    <w:rsid w:val="005116F9"/>
    <w:rsid w:val="005153A7"/>
    <w:rsid w:val="0051548C"/>
    <w:rsid w:val="005219CF"/>
    <w:rsid w:val="0052676E"/>
    <w:rsid w:val="005317E3"/>
    <w:rsid w:val="00534B59"/>
    <w:rsid w:val="00536759"/>
    <w:rsid w:val="00537C62"/>
    <w:rsid w:val="00546970"/>
    <w:rsid w:val="00554E19"/>
    <w:rsid w:val="0056121F"/>
    <w:rsid w:val="00564D80"/>
    <w:rsid w:val="0057078C"/>
    <w:rsid w:val="00572505"/>
    <w:rsid w:val="00573EA4"/>
    <w:rsid w:val="00582809"/>
    <w:rsid w:val="0058798C"/>
    <w:rsid w:val="005900FA"/>
    <w:rsid w:val="005935A4"/>
    <w:rsid w:val="005948C2"/>
    <w:rsid w:val="00595DCA"/>
    <w:rsid w:val="0059779B"/>
    <w:rsid w:val="005A100F"/>
    <w:rsid w:val="005A1E36"/>
    <w:rsid w:val="005A209A"/>
    <w:rsid w:val="005A5E5A"/>
    <w:rsid w:val="005A662D"/>
    <w:rsid w:val="005B1194"/>
    <w:rsid w:val="005B1409"/>
    <w:rsid w:val="005B35D7"/>
    <w:rsid w:val="005B392A"/>
    <w:rsid w:val="005B3AA3"/>
    <w:rsid w:val="005B648F"/>
    <w:rsid w:val="005B6F83"/>
    <w:rsid w:val="005C74FB"/>
    <w:rsid w:val="005D1602"/>
    <w:rsid w:val="005D7C65"/>
    <w:rsid w:val="005E385F"/>
    <w:rsid w:val="005E5B81"/>
    <w:rsid w:val="005F2CB1"/>
    <w:rsid w:val="005F3025"/>
    <w:rsid w:val="005F5911"/>
    <w:rsid w:val="005F618C"/>
    <w:rsid w:val="005F70BD"/>
    <w:rsid w:val="005F75A0"/>
    <w:rsid w:val="00601F47"/>
    <w:rsid w:val="0060283C"/>
    <w:rsid w:val="00604F14"/>
    <w:rsid w:val="00611B83"/>
    <w:rsid w:val="00612C89"/>
    <w:rsid w:val="00613257"/>
    <w:rsid w:val="00613C0A"/>
    <w:rsid w:val="00620A71"/>
    <w:rsid w:val="00620D80"/>
    <w:rsid w:val="006234A6"/>
    <w:rsid w:val="00630001"/>
    <w:rsid w:val="006311B3"/>
    <w:rsid w:val="00631C9E"/>
    <w:rsid w:val="0063284C"/>
    <w:rsid w:val="00636398"/>
    <w:rsid w:val="006368D3"/>
    <w:rsid w:val="006377EC"/>
    <w:rsid w:val="0064151F"/>
    <w:rsid w:val="00641533"/>
    <w:rsid w:val="0064208D"/>
    <w:rsid w:val="0064290E"/>
    <w:rsid w:val="00643475"/>
    <w:rsid w:val="0064396A"/>
    <w:rsid w:val="0064624E"/>
    <w:rsid w:val="0065052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32"/>
    <w:rsid w:val="006932DE"/>
    <w:rsid w:val="006944D0"/>
    <w:rsid w:val="00695FC2"/>
    <w:rsid w:val="00696949"/>
    <w:rsid w:val="00697052"/>
    <w:rsid w:val="006A1FB3"/>
    <w:rsid w:val="006A46FB"/>
    <w:rsid w:val="006A5E28"/>
    <w:rsid w:val="006A697B"/>
    <w:rsid w:val="006A7AFF"/>
    <w:rsid w:val="006B1816"/>
    <w:rsid w:val="006B2099"/>
    <w:rsid w:val="006B50CF"/>
    <w:rsid w:val="006C03B8"/>
    <w:rsid w:val="006C0D8E"/>
    <w:rsid w:val="006C1C86"/>
    <w:rsid w:val="006C5EC9"/>
    <w:rsid w:val="006C6059"/>
    <w:rsid w:val="006C7522"/>
    <w:rsid w:val="006D0615"/>
    <w:rsid w:val="006D248B"/>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5A7F"/>
    <w:rsid w:val="007362A6"/>
    <w:rsid w:val="00736D7D"/>
    <w:rsid w:val="007377EC"/>
    <w:rsid w:val="00740E58"/>
    <w:rsid w:val="007445A0"/>
    <w:rsid w:val="0074524B"/>
    <w:rsid w:val="00747D8B"/>
    <w:rsid w:val="00751228"/>
    <w:rsid w:val="007565E6"/>
    <w:rsid w:val="007571E1"/>
    <w:rsid w:val="007604B2"/>
    <w:rsid w:val="00765281"/>
    <w:rsid w:val="00766BAD"/>
    <w:rsid w:val="007729A2"/>
    <w:rsid w:val="007747B3"/>
    <w:rsid w:val="007755F2"/>
    <w:rsid w:val="00776971"/>
    <w:rsid w:val="00776D62"/>
    <w:rsid w:val="00780A80"/>
    <w:rsid w:val="0078177E"/>
    <w:rsid w:val="0078304C"/>
    <w:rsid w:val="00783673"/>
    <w:rsid w:val="00785490"/>
    <w:rsid w:val="007925EA"/>
    <w:rsid w:val="00793CD8"/>
    <w:rsid w:val="00794552"/>
    <w:rsid w:val="00795349"/>
    <w:rsid w:val="00795C92"/>
    <w:rsid w:val="00796231"/>
    <w:rsid w:val="00797173"/>
    <w:rsid w:val="007A1CB3"/>
    <w:rsid w:val="007A1F66"/>
    <w:rsid w:val="007A1F8A"/>
    <w:rsid w:val="007A306F"/>
    <w:rsid w:val="007A43A6"/>
    <w:rsid w:val="007A44B6"/>
    <w:rsid w:val="007A58A6"/>
    <w:rsid w:val="007B07DF"/>
    <w:rsid w:val="007B23C8"/>
    <w:rsid w:val="007B3D2D"/>
    <w:rsid w:val="007B452B"/>
    <w:rsid w:val="007B45E5"/>
    <w:rsid w:val="007B50AE"/>
    <w:rsid w:val="007B51DF"/>
    <w:rsid w:val="007C05DD"/>
    <w:rsid w:val="007C18A3"/>
    <w:rsid w:val="007C3D18"/>
    <w:rsid w:val="007C60BF"/>
    <w:rsid w:val="007C6A07"/>
    <w:rsid w:val="007C75A1"/>
    <w:rsid w:val="007C77A5"/>
    <w:rsid w:val="007D04E5"/>
    <w:rsid w:val="007D2188"/>
    <w:rsid w:val="007D2FEA"/>
    <w:rsid w:val="007D3B7E"/>
    <w:rsid w:val="007D5901"/>
    <w:rsid w:val="007D7526"/>
    <w:rsid w:val="007E4610"/>
    <w:rsid w:val="007E4715"/>
    <w:rsid w:val="007E505B"/>
    <w:rsid w:val="007E7091"/>
    <w:rsid w:val="007E772B"/>
    <w:rsid w:val="007F164A"/>
    <w:rsid w:val="00803FAE"/>
    <w:rsid w:val="0080605F"/>
    <w:rsid w:val="00807786"/>
    <w:rsid w:val="00811FCB"/>
    <w:rsid w:val="008158D6"/>
    <w:rsid w:val="00817196"/>
    <w:rsid w:val="008235DB"/>
    <w:rsid w:val="00824AB4"/>
    <w:rsid w:val="00825C42"/>
    <w:rsid w:val="00825D25"/>
    <w:rsid w:val="00827D6F"/>
    <w:rsid w:val="00830F2B"/>
    <w:rsid w:val="0083308A"/>
    <w:rsid w:val="00835241"/>
    <w:rsid w:val="00836AED"/>
    <w:rsid w:val="008376AC"/>
    <w:rsid w:val="00841994"/>
    <w:rsid w:val="008444E8"/>
    <w:rsid w:val="00844E80"/>
    <w:rsid w:val="00846FE7"/>
    <w:rsid w:val="008533D3"/>
    <w:rsid w:val="00856911"/>
    <w:rsid w:val="00860ED9"/>
    <w:rsid w:val="008677FD"/>
    <w:rsid w:val="008706D4"/>
    <w:rsid w:val="00870F8A"/>
    <w:rsid w:val="008719A4"/>
    <w:rsid w:val="00871D23"/>
    <w:rsid w:val="00874312"/>
    <w:rsid w:val="0087437C"/>
    <w:rsid w:val="00875CD7"/>
    <w:rsid w:val="00876A9E"/>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FB6"/>
    <w:rsid w:val="008C0C99"/>
    <w:rsid w:val="008C2017"/>
    <w:rsid w:val="008C46AA"/>
    <w:rsid w:val="008C4958"/>
    <w:rsid w:val="008C4BAA"/>
    <w:rsid w:val="008C6AE8"/>
    <w:rsid w:val="008C7573"/>
    <w:rsid w:val="008D00A5"/>
    <w:rsid w:val="008D34F1"/>
    <w:rsid w:val="008D39D8"/>
    <w:rsid w:val="008D670E"/>
    <w:rsid w:val="008D6D1A"/>
    <w:rsid w:val="008D7539"/>
    <w:rsid w:val="008E065E"/>
    <w:rsid w:val="008E0927"/>
    <w:rsid w:val="008E1909"/>
    <w:rsid w:val="008F1C4E"/>
    <w:rsid w:val="008F1EAB"/>
    <w:rsid w:val="008F33DC"/>
    <w:rsid w:val="008F477F"/>
    <w:rsid w:val="008F4E29"/>
    <w:rsid w:val="00900148"/>
    <w:rsid w:val="00902350"/>
    <w:rsid w:val="0090336B"/>
    <w:rsid w:val="009053AA"/>
    <w:rsid w:val="00906939"/>
    <w:rsid w:val="009077CA"/>
    <w:rsid w:val="00910666"/>
    <w:rsid w:val="00910B7D"/>
    <w:rsid w:val="00911DFB"/>
    <w:rsid w:val="009139D9"/>
    <w:rsid w:val="00914AD8"/>
    <w:rsid w:val="00916079"/>
    <w:rsid w:val="00917CE9"/>
    <w:rsid w:val="0092075B"/>
    <w:rsid w:val="00920BF2"/>
    <w:rsid w:val="00922010"/>
    <w:rsid w:val="00931BD9"/>
    <w:rsid w:val="0093426C"/>
    <w:rsid w:val="00934F32"/>
    <w:rsid w:val="009368F3"/>
    <w:rsid w:val="00941636"/>
    <w:rsid w:val="00943742"/>
    <w:rsid w:val="00943F6C"/>
    <w:rsid w:val="009451C8"/>
    <w:rsid w:val="00945C05"/>
    <w:rsid w:val="00946945"/>
    <w:rsid w:val="0094770E"/>
    <w:rsid w:val="00947713"/>
    <w:rsid w:val="00950DE7"/>
    <w:rsid w:val="00953920"/>
    <w:rsid w:val="00953D47"/>
    <w:rsid w:val="0095681E"/>
    <w:rsid w:val="009572D4"/>
    <w:rsid w:val="00957BC7"/>
    <w:rsid w:val="00961921"/>
    <w:rsid w:val="0096430A"/>
    <w:rsid w:val="0096554B"/>
    <w:rsid w:val="0096584A"/>
    <w:rsid w:val="00971F08"/>
    <w:rsid w:val="0097603D"/>
    <w:rsid w:val="00976949"/>
    <w:rsid w:val="00977C49"/>
    <w:rsid w:val="00980188"/>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E96"/>
    <w:rsid w:val="009C403E"/>
    <w:rsid w:val="009D4FF0"/>
    <w:rsid w:val="009D703C"/>
    <w:rsid w:val="009D718F"/>
    <w:rsid w:val="009E068F"/>
    <w:rsid w:val="009E14E0"/>
    <w:rsid w:val="009E35DB"/>
    <w:rsid w:val="009E47A3"/>
    <w:rsid w:val="009E7462"/>
    <w:rsid w:val="009F08F3"/>
    <w:rsid w:val="009F2B91"/>
    <w:rsid w:val="009F344F"/>
    <w:rsid w:val="009F7EEA"/>
    <w:rsid w:val="00A001FD"/>
    <w:rsid w:val="00A031D8"/>
    <w:rsid w:val="00A042E5"/>
    <w:rsid w:val="00A048A8"/>
    <w:rsid w:val="00A04F49"/>
    <w:rsid w:val="00A06578"/>
    <w:rsid w:val="00A13E54"/>
    <w:rsid w:val="00A17F63"/>
    <w:rsid w:val="00A2193B"/>
    <w:rsid w:val="00A2351A"/>
    <w:rsid w:val="00A264A9"/>
    <w:rsid w:val="00A26DCF"/>
    <w:rsid w:val="00A27785"/>
    <w:rsid w:val="00A30187"/>
    <w:rsid w:val="00A3448A"/>
    <w:rsid w:val="00A36297"/>
    <w:rsid w:val="00A41E2B"/>
    <w:rsid w:val="00A4525B"/>
    <w:rsid w:val="00A45B74"/>
    <w:rsid w:val="00A51018"/>
    <w:rsid w:val="00A52E1D"/>
    <w:rsid w:val="00A56054"/>
    <w:rsid w:val="00A611BC"/>
    <w:rsid w:val="00A61499"/>
    <w:rsid w:val="00A62A77"/>
    <w:rsid w:val="00A63483"/>
    <w:rsid w:val="00A657D7"/>
    <w:rsid w:val="00A660AC"/>
    <w:rsid w:val="00A67E6C"/>
    <w:rsid w:val="00A71B99"/>
    <w:rsid w:val="00A739D0"/>
    <w:rsid w:val="00A761D4"/>
    <w:rsid w:val="00A76645"/>
    <w:rsid w:val="00A77EC4"/>
    <w:rsid w:val="00A92879"/>
    <w:rsid w:val="00A9442A"/>
    <w:rsid w:val="00AA016F"/>
    <w:rsid w:val="00AA17DA"/>
    <w:rsid w:val="00AA1ED6"/>
    <w:rsid w:val="00AA265D"/>
    <w:rsid w:val="00AA4053"/>
    <w:rsid w:val="00AA51D6"/>
    <w:rsid w:val="00AB0BC8"/>
    <w:rsid w:val="00AB11CA"/>
    <w:rsid w:val="00AB14D9"/>
    <w:rsid w:val="00AB4AB8"/>
    <w:rsid w:val="00AB655E"/>
    <w:rsid w:val="00AB7D32"/>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2133"/>
    <w:rsid w:val="00AF42D7"/>
    <w:rsid w:val="00B006FE"/>
    <w:rsid w:val="00B007CB"/>
    <w:rsid w:val="00B02AA9"/>
    <w:rsid w:val="00B02FA3"/>
    <w:rsid w:val="00B05084"/>
    <w:rsid w:val="00B12B68"/>
    <w:rsid w:val="00B157F9"/>
    <w:rsid w:val="00B20256"/>
    <w:rsid w:val="00B20D09"/>
    <w:rsid w:val="00B2757F"/>
    <w:rsid w:val="00B2763F"/>
    <w:rsid w:val="00B27AAC"/>
    <w:rsid w:val="00B30929"/>
    <w:rsid w:val="00B35487"/>
    <w:rsid w:val="00B372AA"/>
    <w:rsid w:val="00B40445"/>
    <w:rsid w:val="00B409E0"/>
    <w:rsid w:val="00B41888"/>
    <w:rsid w:val="00B45A52"/>
    <w:rsid w:val="00B46175"/>
    <w:rsid w:val="00B46A31"/>
    <w:rsid w:val="00B5045B"/>
    <w:rsid w:val="00B50747"/>
    <w:rsid w:val="00B548B7"/>
    <w:rsid w:val="00B618C0"/>
    <w:rsid w:val="00B664C7"/>
    <w:rsid w:val="00B713D8"/>
    <w:rsid w:val="00B739F6"/>
    <w:rsid w:val="00B81A6C"/>
    <w:rsid w:val="00B85DE5"/>
    <w:rsid w:val="00B90F73"/>
    <w:rsid w:val="00B93B59"/>
    <w:rsid w:val="00B9406A"/>
    <w:rsid w:val="00BA2280"/>
    <w:rsid w:val="00BA2A08"/>
    <w:rsid w:val="00BA56D2"/>
    <w:rsid w:val="00BA76E0"/>
    <w:rsid w:val="00BB0F58"/>
    <w:rsid w:val="00BB2A25"/>
    <w:rsid w:val="00BB4F9D"/>
    <w:rsid w:val="00BB51E9"/>
    <w:rsid w:val="00BC0FDC"/>
    <w:rsid w:val="00BC18CB"/>
    <w:rsid w:val="00BC3053"/>
    <w:rsid w:val="00BC4D2E"/>
    <w:rsid w:val="00BD335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B29"/>
    <w:rsid w:val="00C07377"/>
    <w:rsid w:val="00C07E46"/>
    <w:rsid w:val="00C10478"/>
    <w:rsid w:val="00C12107"/>
    <w:rsid w:val="00C13B27"/>
    <w:rsid w:val="00C14D4B"/>
    <w:rsid w:val="00C154BB"/>
    <w:rsid w:val="00C1667A"/>
    <w:rsid w:val="00C211D8"/>
    <w:rsid w:val="00C279B5"/>
    <w:rsid w:val="00C27C45"/>
    <w:rsid w:val="00C34EB3"/>
    <w:rsid w:val="00C3719D"/>
    <w:rsid w:val="00C37CB2"/>
    <w:rsid w:val="00C45736"/>
    <w:rsid w:val="00C473A5"/>
    <w:rsid w:val="00C506DA"/>
    <w:rsid w:val="00C54995"/>
    <w:rsid w:val="00C54D41"/>
    <w:rsid w:val="00C60783"/>
    <w:rsid w:val="00C6429F"/>
    <w:rsid w:val="00C64672"/>
    <w:rsid w:val="00C70697"/>
    <w:rsid w:val="00C72093"/>
    <w:rsid w:val="00C72EF4"/>
    <w:rsid w:val="00C744FE"/>
    <w:rsid w:val="00C75D2F"/>
    <w:rsid w:val="00C767BE"/>
    <w:rsid w:val="00C76E3C"/>
    <w:rsid w:val="00C81568"/>
    <w:rsid w:val="00C81EAB"/>
    <w:rsid w:val="00C87213"/>
    <w:rsid w:val="00C9027A"/>
    <w:rsid w:val="00C9068E"/>
    <w:rsid w:val="00C93814"/>
    <w:rsid w:val="00C93C4B"/>
    <w:rsid w:val="00C93F10"/>
    <w:rsid w:val="00C944AB"/>
    <w:rsid w:val="00C95B40"/>
    <w:rsid w:val="00C95ED8"/>
    <w:rsid w:val="00CA1ED8"/>
    <w:rsid w:val="00CA68E3"/>
    <w:rsid w:val="00CB1185"/>
    <w:rsid w:val="00CB1F63"/>
    <w:rsid w:val="00CB7170"/>
    <w:rsid w:val="00CC040E"/>
    <w:rsid w:val="00CC111F"/>
    <w:rsid w:val="00CC2011"/>
    <w:rsid w:val="00CC3EA0"/>
    <w:rsid w:val="00CC5DFC"/>
    <w:rsid w:val="00CC7B45"/>
    <w:rsid w:val="00CD1188"/>
    <w:rsid w:val="00CD15F7"/>
    <w:rsid w:val="00CD2ED1"/>
    <w:rsid w:val="00CD337B"/>
    <w:rsid w:val="00CE0357"/>
    <w:rsid w:val="00CE0424"/>
    <w:rsid w:val="00CE50E8"/>
    <w:rsid w:val="00CE6CB7"/>
    <w:rsid w:val="00CE7561"/>
    <w:rsid w:val="00CF1354"/>
    <w:rsid w:val="00CF3B1F"/>
    <w:rsid w:val="00CF3BF6"/>
    <w:rsid w:val="00CF625B"/>
    <w:rsid w:val="00CF687E"/>
    <w:rsid w:val="00D0349B"/>
    <w:rsid w:val="00D0589B"/>
    <w:rsid w:val="00D06E9A"/>
    <w:rsid w:val="00D10249"/>
    <w:rsid w:val="00D115C3"/>
    <w:rsid w:val="00D11897"/>
    <w:rsid w:val="00D13135"/>
    <w:rsid w:val="00D13E4E"/>
    <w:rsid w:val="00D228B3"/>
    <w:rsid w:val="00D239A7"/>
    <w:rsid w:val="00D23F47"/>
    <w:rsid w:val="00D32E3A"/>
    <w:rsid w:val="00D36E71"/>
    <w:rsid w:val="00D37D87"/>
    <w:rsid w:val="00D40B33"/>
    <w:rsid w:val="00D40E41"/>
    <w:rsid w:val="00D4318F"/>
    <w:rsid w:val="00D435B7"/>
    <w:rsid w:val="00D438BF"/>
    <w:rsid w:val="00D440F8"/>
    <w:rsid w:val="00D546FF"/>
    <w:rsid w:val="00D55AD5"/>
    <w:rsid w:val="00D576CA"/>
    <w:rsid w:val="00D61AF5"/>
    <w:rsid w:val="00D652B5"/>
    <w:rsid w:val="00D66155"/>
    <w:rsid w:val="00D708B0"/>
    <w:rsid w:val="00D77B1D"/>
    <w:rsid w:val="00D8021F"/>
    <w:rsid w:val="00D80383"/>
    <w:rsid w:val="00D823C6"/>
    <w:rsid w:val="00D82C27"/>
    <w:rsid w:val="00D8327F"/>
    <w:rsid w:val="00D865F0"/>
    <w:rsid w:val="00D86CA3"/>
    <w:rsid w:val="00D871CE"/>
    <w:rsid w:val="00D9062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D98"/>
    <w:rsid w:val="00E110E7"/>
    <w:rsid w:val="00E11B20"/>
    <w:rsid w:val="00E1329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825"/>
    <w:rsid w:val="00E47AEF"/>
    <w:rsid w:val="00E533B8"/>
    <w:rsid w:val="00E53B75"/>
    <w:rsid w:val="00E54E3B"/>
    <w:rsid w:val="00E57565"/>
    <w:rsid w:val="00E60185"/>
    <w:rsid w:val="00E63838"/>
    <w:rsid w:val="00E6384E"/>
    <w:rsid w:val="00E64434"/>
    <w:rsid w:val="00E67C51"/>
    <w:rsid w:val="00E72EFC"/>
    <w:rsid w:val="00E758EC"/>
    <w:rsid w:val="00E77970"/>
    <w:rsid w:val="00E80243"/>
    <w:rsid w:val="00E8234C"/>
    <w:rsid w:val="00E83AA9"/>
    <w:rsid w:val="00E85928"/>
    <w:rsid w:val="00E87822"/>
    <w:rsid w:val="00E90395"/>
    <w:rsid w:val="00E90E49"/>
    <w:rsid w:val="00E917F9"/>
    <w:rsid w:val="00E9291C"/>
    <w:rsid w:val="00E93FFE"/>
    <w:rsid w:val="00E94F8A"/>
    <w:rsid w:val="00E97119"/>
    <w:rsid w:val="00EA08BE"/>
    <w:rsid w:val="00EA32C5"/>
    <w:rsid w:val="00EA4885"/>
    <w:rsid w:val="00EA7A41"/>
    <w:rsid w:val="00EB077B"/>
    <w:rsid w:val="00EB4EA2"/>
    <w:rsid w:val="00EB6682"/>
    <w:rsid w:val="00EC24D5"/>
    <w:rsid w:val="00EC27C6"/>
    <w:rsid w:val="00EC4207"/>
    <w:rsid w:val="00EC49BC"/>
    <w:rsid w:val="00EC5653"/>
    <w:rsid w:val="00EC71CE"/>
    <w:rsid w:val="00ED1006"/>
    <w:rsid w:val="00ED7BCF"/>
    <w:rsid w:val="00EF18FE"/>
    <w:rsid w:val="00EF3D25"/>
    <w:rsid w:val="00EF5787"/>
    <w:rsid w:val="00EF60D0"/>
    <w:rsid w:val="00EF62E6"/>
    <w:rsid w:val="00F0528D"/>
    <w:rsid w:val="00F06C67"/>
    <w:rsid w:val="00F06DFD"/>
    <w:rsid w:val="00F071D1"/>
    <w:rsid w:val="00F07533"/>
    <w:rsid w:val="00F10629"/>
    <w:rsid w:val="00F15FA5"/>
    <w:rsid w:val="00F209B7"/>
    <w:rsid w:val="00F2376F"/>
    <w:rsid w:val="00F243D8"/>
    <w:rsid w:val="00F2751D"/>
    <w:rsid w:val="00F30828"/>
    <w:rsid w:val="00F313D6"/>
    <w:rsid w:val="00F329F4"/>
    <w:rsid w:val="00F40F0C"/>
    <w:rsid w:val="00F4766C"/>
    <w:rsid w:val="00F5060E"/>
    <w:rsid w:val="00F507D1"/>
    <w:rsid w:val="00F519CE"/>
    <w:rsid w:val="00F51ADA"/>
    <w:rsid w:val="00F5348A"/>
    <w:rsid w:val="00F53832"/>
    <w:rsid w:val="00F53D82"/>
    <w:rsid w:val="00F60203"/>
    <w:rsid w:val="00F607C5"/>
    <w:rsid w:val="00F60DEA"/>
    <w:rsid w:val="00F6302A"/>
    <w:rsid w:val="00F63950"/>
    <w:rsid w:val="00F64C2B"/>
    <w:rsid w:val="00F651BE"/>
    <w:rsid w:val="00F67533"/>
    <w:rsid w:val="00F67F53"/>
    <w:rsid w:val="00F703BE"/>
    <w:rsid w:val="00F71F69"/>
    <w:rsid w:val="00F72B72"/>
    <w:rsid w:val="00F74BB9"/>
    <w:rsid w:val="00F75007"/>
    <w:rsid w:val="00F75582"/>
    <w:rsid w:val="00F76EFA"/>
    <w:rsid w:val="00F804BE"/>
    <w:rsid w:val="00F817CE"/>
    <w:rsid w:val="00F8456C"/>
    <w:rsid w:val="00F859D8"/>
    <w:rsid w:val="00F868F5"/>
    <w:rsid w:val="00F9056A"/>
    <w:rsid w:val="00F90F8D"/>
    <w:rsid w:val="00F92782"/>
    <w:rsid w:val="00F93AA9"/>
    <w:rsid w:val="00F96940"/>
    <w:rsid w:val="00F96985"/>
    <w:rsid w:val="00F97838"/>
    <w:rsid w:val="00FA2BB3"/>
    <w:rsid w:val="00FB4C80"/>
    <w:rsid w:val="00FB6A6A"/>
    <w:rsid w:val="00FC2F1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16C05"/>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CA68E3"/>
    <w:pPr>
      <w:numPr>
        <w:numId w:val="3"/>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B452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D9C08-288C-4AF7-812A-630AC51360EC}">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AE380FF7-B887-4C0B-A8F1-D9BD7E28779D}">
  <ds:schemaRefs>
    <ds:schemaRef ds:uri="http://schemas.microsoft.com/sharepoint/v3/contenttype/forms"/>
  </ds:schemaRefs>
</ds:datastoreItem>
</file>

<file path=customXml/itemProps3.xml><?xml version="1.0" encoding="utf-8"?>
<ds:datastoreItem xmlns:ds="http://schemas.openxmlformats.org/officeDocument/2006/customXml" ds:itemID="{378B7D5F-6CFF-4AFD-BF9D-30179072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D2DEB-FB2F-4847-8875-7DF84A4C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4483</Words>
  <Characters>25554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2024-08-09T19:00:00Z</dcterms:created>
  <dcterms:modified xsi:type="dcterms:W3CDTF">2024-08-09T19:56:00Z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TaxHTField0">
    <vt:lpwstr/>
  </property>
  <property fmtid="{D5CDD505-2E9C-101B-9397-08002B2CF9AE}" pid="11" name="EriCOLLCategoryTaxHTField0">
    <vt:lpwstr/>
  </property>
  <property fmtid="{D5CDD505-2E9C-101B-9397-08002B2CF9AE}" pid="12" name="_dlc_DocIdItemGuid">
    <vt:lpwstr>462b5fbb-33cd-4414-bf8c-97d3e837a4ee</vt:lpwstr>
  </property>
  <property fmtid="{D5CDD505-2E9C-101B-9397-08002B2CF9AE}" pid="13" name="EriCOLLCustomerTaxHTField0">
    <vt:lpwstr/>
  </property>
  <property fmtid="{D5CDD505-2E9C-101B-9397-08002B2CF9AE}" pid="14" name="EriCOLLCountryTaxHTField0">
    <vt:lpwstr/>
  </property>
  <property fmtid="{D5CDD505-2E9C-101B-9397-08002B2CF9AE}" pid="15" name="EriCOLLProductsTaxHTField0">
    <vt:lpwstr/>
  </property>
  <property fmtid="{D5CDD505-2E9C-101B-9397-08002B2CF9AE}" pid="16" name="EriCOLLProcessTaxHTField0">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EriCOLLCompetenceTaxHTField0">
    <vt:lpwstr/>
  </property>
  <property fmtid="{D5CDD505-2E9C-101B-9397-08002B2CF9AE}" pid="23" name="Order">
    <vt:r8>56526700</vt:r8>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